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9151" w14:textId="2362CA50" w:rsidR="008B12D4" w:rsidRPr="001A2075" w:rsidRDefault="003D6799" w:rsidP="001A2075">
      <w:pPr>
        <w:rPr>
          <w:rFonts w:asciiTheme="majorHAnsi" w:eastAsiaTheme="majorEastAsia" w:hAnsiTheme="majorHAnsi" w:cstheme="majorBidi"/>
          <w:b/>
          <w:bCs/>
          <w:color w:val="2F5496" w:themeColor="accent1" w:themeShade="BF"/>
          <w:sz w:val="26"/>
          <w:szCs w:val="26"/>
        </w:rPr>
      </w:pPr>
      <w:r w:rsidRPr="001A2075">
        <w:rPr>
          <w:rFonts w:asciiTheme="majorHAnsi" w:eastAsiaTheme="majorEastAsia" w:hAnsiTheme="majorHAnsi" w:cstheme="majorBidi"/>
          <w:b/>
          <w:bCs/>
          <w:color w:val="2F5496" w:themeColor="accent1" w:themeShade="BF"/>
          <w:sz w:val="26"/>
          <w:szCs w:val="26"/>
        </w:rPr>
        <w:t>Inleiding</w:t>
      </w:r>
    </w:p>
    <w:p w14:paraId="15D458C9" w14:textId="1707983A" w:rsidR="00125943" w:rsidRDefault="6706F686" w:rsidP="6706F686">
      <w:r>
        <w:t>De gemeenten ontvangen meerdere keren per jaar een circulaire van het Rijk waarin de ontwikkeling van de algemene uitkering is weergegeven. De algemene uitkering is de belangrijkste inkomstenbron voor gemeenten. Over de uitkomsten van de meicirculaire 2022 heeft u in juli 2022 een raads</w:t>
      </w:r>
      <w:r w:rsidR="000470E3">
        <w:t>-</w:t>
      </w:r>
      <w:r>
        <w:t>informatiebrief ontvangen. Daarnaast is in augustus een indicatie ontvangen van het Rijk over extra middelen voor de jeugdzorg vanaf 2024. Nu wordt ingegaan op de septembercirculaire 2022 die vlak na Prinsjesdag is verschenen. Eind december 2022 ontvangen we de volgende circulaire over de algemene uitkering.</w:t>
      </w:r>
    </w:p>
    <w:p w14:paraId="5CF401A3" w14:textId="090CCC4D" w:rsidR="003D6799" w:rsidRPr="00226B11" w:rsidRDefault="000D3239" w:rsidP="003D6799">
      <w:pPr>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Resul</w:t>
      </w:r>
      <w:r w:rsidR="00B91476">
        <w:rPr>
          <w:rFonts w:asciiTheme="majorHAnsi" w:eastAsiaTheme="majorEastAsia" w:hAnsiTheme="majorHAnsi" w:cstheme="majorBidi"/>
          <w:b/>
          <w:bCs/>
          <w:color w:val="2F5496" w:themeColor="accent1" w:themeShade="BF"/>
          <w:sz w:val="26"/>
          <w:szCs w:val="26"/>
        </w:rPr>
        <w:t>taten van septembercirculaire 2022</w:t>
      </w:r>
    </w:p>
    <w:p w14:paraId="1AF4144A" w14:textId="3F3A3ACF" w:rsidR="000D3239" w:rsidRDefault="000D3239" w:rsidP="000D3239">
      <w:r>
        <w:t xml:space="preserve">De </w:t>
      </w:r>
      <w:r w:rsidR="00B91476">
        <w:t>resultaten van de septembercirculaire 2022 zijn:</w:t>
      </w:r>
    </w:p>
    <w:p w14:paraId="2D2A9579" w14:textId="6EA3BF70" w:rsidR="00091CA3" w:rsidRDefault="00A97523" w:rsidP="004203B0">
      <w:pPr>
        <w:pStyle w:val="Lijstalinea"/>
        <w:numPr>
          <w:ilvl w:val="0"/>
          <w:numId w:val="9"/>
        </w:numPr>
      </w:pPr>
      <w:r>
        <w:t xml:space="preserve">De uitkomsten van de </w:t>
      </w:r>
      <w:r w:rsidR="00F84CB2">
        <w:t>septembercirculaire 2022 geeft meer financiële stabiliteit voor de periode 2022</w:t>
      </w:r>
      <w:r w:rsidR="00B37E44">
        <w:t> </w:t>
      </w:r>
      <w:r w:rsidR="00F84CB2">
        <w:t>–</w:t>
      </w:r>
      <w:r w:rsidR="00B37E44">
        <w:t> </w:t>
      </w:r>
      <w:r w:rsidR="00F84CB2">
        <w:t>2026</w:t>
      </w:r>
      <w:r w:rsidR="00B37E44">
        <w:t xml:space="preserve"> om maatschappelijke vraagstukken op te pakken</w:t>
      </w:r>
      <w:r w:rsidR="00F84CB2">
        <w:t xml:space="preserve">. </w:t>
      </w:r>
      <w:r w:rsidR="000B375E">
        <w:t xml:space="preserve">Dit komt mede door een eenmalige bijdrage </w:t>
      </w:r>
      <w:r w:rsidR="0026439D">
        <w:t xml:space="preserve">van € 1 miljard aan gemeenten </w:t>
      </w:r>
      <w:r w:rsidR="000B375E">
        <w:t>in 2026</w:t>
      </w:r>
      <w:r w:rsidR="0026439D">
        <w:t>.</w:t>
      </w:r>
      <w:r w:rsidR="000B375E">
        <w:t xml:space="preserve"> </w:t>
      </w:r>
      <w:r w:rsidR="00B37E44">
        <w:t>In de periode 2023/2024 volgt nadere informatie van het Rijk over de financieringssystematiek van gemeenten vanaf 2027.</w:t>
      </w:r>
    </w:p>
    <w:p w14:paraId="4150EF97" w14:textId="5781E492" w:rsidR="00B37E44" w:rsidRDefault="00B37E44" w:rsidP="004203B0">
      <w:pPr>
        <w:pStyle w:val="Lijstalinea"/>
        <w:numPr>
          <w:ilvl w:val="0"/>
          <w:numId w:val="9"/>
        </w:numPr>
      </w:pPr>
      <w:r>
        <w:t xml:space="preserve">De ontwikkeling van lonen en (energie)prijzen voor 2023 en volgende jaren kunnen aanleiding geven om onze budgetten aan te passen. Hiervoor is dan ruimte beschikbaar vanuit de rijksbijdragen. </w:t>
      </w:r>
    </w:p>
    <w:p w14:paraId="4DBF2128" w14:textId="1803CA6D" w:rsidR="00CC776B" w:rsidRDefault="00CC776B" w:rsidP="00091CA3">
      <w:r>
        <w:t>In onderstaande tabel is opgenomen het effect op de begrotingsresultaten 2022 – 2026.</w:t>
      </w:r>
    </w:p>
    <w:tbl>
      <w:tblPr>
        <w:tblStyle w:val="Tabelraster"/>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070"/>
        <w:gridCol w:w="1071"/>
        <w:gridCol w:w="1071"/>
        <w:gridCol w:w="1071"/>
        <w:gridCol w:w="1029"/>
        <w:gridCol w:w="42"/>
      </w:tblGrid>
      <w:tr w:rsidR="000A70F2" w14:paraId="5E10B72A" w14:textId="77777777" w:rsidTr="00F500D6">
        <w:trPr>
          <w:gridAfter w:val="1"/>
          <w:wAfter w:w="42" w:type="dxa"/>
        </w:trPr>
        <w:tc>
          <w:tcPr>
            <w:tcW w:w="9066" w:type="dxa"/>
            <w:gridSpan w:val="6"/>
            <w:tcBorders>
              <w:bottom w:val="single" w:sz="12" w:space="0" w:color="44546A" w:themeColor="text2"/>
            </w:tcBorders>
          </w:tcPr>
          <w:p w14:paraId="49F884F0" w14:textId="3715C9D4" w:rsidR="000A70F2" w:rsidRPr="00C0157E" w:rsidRDefault="000A70F2" w:rsidP="000A70F2">
            <w:pPr>
              <w:tabs>
                <w:tab w:val="left" w:pos="4905"/>
              </w:tabs>
              <w:rPr>
                <w:b/>
                <w:bCs/>
              </w:rPr>
            </w:pPr>
            <w:r w:rsidRPr="00C0157E">
              <w:rPr>
                <w:b/>
                <w:bCs/>
                <w:color w:val="44546A" w:themeColor="text2"/>
              </w:rPr>
              <w:t xml:space="preserve">Effecten voor de begrotingsresultaten 2022 -2026 (bedragen x </w:t>
            </w:r>
            <w:r w:rsidRPr="00C0157E">
              <w:rPr>
                <w:b/>
                <w:bCs/>
                <w:color w:val="44546A" w:themeColor="text2"/>
              </w:rPr>
              <w:br w:type="page"/>
              <w:t>€ 1.000)</w:t>
            </w:r>
          </w:p>
        </w:tc>
      </w:tr>
      <w:tr w:rsidR="00F500D6" w14:paraId="22498935" w14:textId="77777777" w:rsidTr="0047699E">
        <w:trPr>
          <w:trHeight w:val="340"/>
        </w:trPr>
        <w:tc>
          <w:tcPr>
            <w:tcW w:w="3754" w:type="dxa"/>
            <w:tcBorders>
              <w:top w:val="single" w:sz="12" w:space="0" w:color="44546A" w:themeColor="text2"/>
              <w:bottom w:val="single" w:sz="12" w:space="0" w:color="44546A" w:themeColor="text2"/>
            </w:tcBorders>
            <w:vAlign w:val="center"/>
          </w:tcPr>
          <w:p w14:paraId="424FA724" w14:textId="77777777" w:rsidR="00B37E44" w:rsidRPr="00B76189" w:rsidRDefault="00B37E44" w:rsidP="0047699E">
            <w:pPr>
              <w:jc w:val="center"/>
              <w:rPr>
                <w:b/>
                <w:bCs/>
              </w:rPr>
            </w:pPr>
          </w:p>
        </w:tc>
        <w:tc>
          <w:tcPr>
            <w:tcW w:w="1070" w:type="dxa"/>
            <w:tcBorders>
              <w:top w:val="single" w:sz="12" w:space="0" w:color="44546A" w:themeColor="text2"/>
              <w:bottom w:val="single" w:sz="12" w:space="0" w:color="44546A" w:themeColor="text2"/>
            </w:tcBorders>
            <w:vAlign w:val="center"/>
          </w:tcPr>
          <w:p w14:paraId="04CBE49A" w14:textId="418172B5" w:rsidR="00B37E44" w:rsidRPr="00B76189" w:rsidRDefault="000A70F2" w:rsidP="0047699E">
            <w:pPr>
              <w:jc w:val="center"/>
              <w:rPr>
                <w:b/>
                <w:bCs/>
              </w:rPr>
            </w:pPr>
            <w:r w:rsidRPr="00B76189">
              <w:rPr>
                <w:b/>
                <w:bCs/>
              </w:rPr>
              <w:t>2022</w:t>
            </w:r>
          </w:p>
        </w:tc>
        <w:tc>
          <w:tcPr>
            <w:tcW w:w="1071" w:type="dxa"/>
            <w:tcBorders>
              <w:top w:val="single" w:sz="12" w:space="0" w:color="44546A" w:themeColor="text2"/>
              <w:bottom w:val="single" w:sz="12" w:space="0" w:color="44546A" w:themeColor="text2"/>
            </w:tcBorders>
            <w:vAlign w:val="center"/>
          </w:tcPr>
          <w:p w14:paraId="1D0D973A" w14:textId="4800C608" w:rsidR="00B37E44" w:rsidRPr="00B76189" w:rsidRDefault="000A70F2" w:rsidP="0047699E">
            <w:pPr>
              <w:jc w:val="center"/>
              <w:rPr>
                <w:b/>
                <w:bCs/>
              </w:rPr>
            </w:pPr>
            <w:r w:rsidRPr="00B76189">
              <w:rPr>
                <w:b/>
                <w:bCs/>
              </w:rPr>
              <w:t>2023</w:t>
            </w:r>
          </w:p>
        </w:tc>
        <w:tc>
          <w:tcPr>
            <w:tcW w:w="1071" w:type="dxa"/>
            <w:tcBorders>
              <w:top w:val="single" w:sz="12" w:space="0" w:color="44546A" w:themeColor="text2"/>
              <w:bottom w:val="single" w:sz="12" w:space="0" w:color="44546A" w:themeColor="text2"/>
            </w:tcBorders>
            <w:vAlign w:val="center"/>
          </w:tcPr>
          <w:p w14:paraId="2D6F5726" w14:textId="2D9AA176" w:rsidR="00B37E44" w:rsidRPr="00B76189" w:rsidRDefault="000A70F2" w:rsidP="0047699E">
            <w:pPr>
              <w:jc w:val="center"/>
              <w:rPr>
                <w:b/>
                <w:bCs/>
              </w:rPr>
            </w:pPr>
            <w:r w:rsidRPr="00B76189">
              <w:rPr>
                <w:b/>
                <w:bCs/>
              </w:rPr>
              <w:t>2024</w:t>
            </w:r>
          </w:p>
        </w:tc>
        <w:tc>
          <w:tcPr>
            <w:tcW w:w="1071" w:type="dxa"/>
            <w:tcBorders>
              <w:top w:val="single" w:sz="12" w:space="0" w:color="44546A" w:themeColor="text2"/>
              <w:bottom w:val="single" w:sz="12" w:space="0" w:color="44546A" w:themeColor="text2"/>
            </w:tcBorders>
            <w:vAlign w:val="center"/>
          </w:tcPr>
          <w:p w14:paraId="236F26CC" w14:textId="085C11ED" w:rsidR="00B37E44" w:rsidRPr="00B76189" w:rsidRDefault="000A70F2" w:rsidP="0047699E">
            <w:pPr>
              <w:jc w:val="center"/>
              <w:rPr>
                <w:b/>
                <w:bCs/>
              </w:rPr>
            </w:pPr>
            <w:r w:rsidRPr="00B76189">
              <w:rPr>
                <w:b/>
                <w:bCs/>
              </w:rPr>
              <w:t>2025</w:t>
            </w:r>
          </w:p>
        </w:tc>
        <w:tc>
          <w:tcPr>
            <w:tcW w:w="1071" w:type="dxa"/>
            <w:gridSpan w:val="2"/>
            <w:tcBorders>
              <w:bottom w:val="single" w:sz="12" w:space="0" w:color="44546A" w:themeColor="text2"/>
            </w:tcBorders>
            <w:vAlign w:val="center"/>
          </w:tcPr>
          <w:p w14:paraId="7A30195A" w14:textId="4618DAB6" w:rsidR="00B37E44" w:rsidRPr="00B76189" w:rsidRDefault="000A70F2" w:rsidP="0047699E">
            <w:pPr>
              <w:jc w:val="center"/>
              <w:rPr>
                <w:b/>
                <w:bCs/>
              </w:rPr>
            </w:pPr>
            <w:r w:rsidRPr="00B76189">
              <w:rPr>
                <w:b/>
                <w:bCs/>
              </w:rPr>
              <w:t>2026</w:t>
            </w:r>
          </w:p>
        </w:tc>
      </w:tr>
      <w:tr w:rsidR="00F500D6" w14:paraId="1DD0CD0D" w14:textId="77777777" w:rsidTr="00F500D6">
        <w:tc>
          <w:tcPr>
            <w:tcW w:w="3754" w:type="dxa"/>
            <w:tcBorders>
              <w:top w:val="single" w:sz="12" w:space="0" w:color="44546A" w:themeColor="text2"/>
            </w:tcBorders>
          </w:tcPr>
          <w:p w14:paraId="7A21854D" w14:textId="73C46192" w:rsidR="00B37E44" w:rsidRDefault="000A70F2" w:rsidP="000A70F2">
            <w:pPr>
              <w:pStyle w:val="Lijstalinea"/>
              <w:numPr>
                <w:ilvl w:val="0"/>
                <w:numId w:val="8"/>
              </w:numPr>
            </w:pPr>
            <w:r>
              <w:t>Hogere opbrengst van de algemene uitkering</w:t>
            </w:r>
          </w:p>
        </w:tc>
        <w:tc>
          <w:tcPr>
            <w:tcW w:w="1070" w:type="dxa"/>
            <w:tcBorders>
              <w:top w:val="single" w:sz="12" w:space="0" w:color="44546A" w:themeColor="text2"/>
            </w:tcBorders>
          </w:tcPr>
          <w:p w14:paraId="7303CD03" w14:textId="0B1F1562" w:rsidR="00B37E44" w:rsidRDefault="00F919B1" w:rsidP="00B76189">
            <w:pPr>
              <w:jc w:val="right"/>
            </w:pPr>
            <w:r>
              <w:t>2.180</w:t>
            </w:r>
          </w:p>
        </w:tc>
        <w:tc>
          <w:tcPr>
            <w:tcW w:w="1071" w:type="dxa"/>
            <w:tcBorders>
              <w:top w:val="single" w:sz="12" w:space="0" w:color="44546A" w:themeColor="text2"/>
            </w:tcBorders>
          </w:tcPr>
          <w:p w14:paraId="73DCD79C" w14:textId="63394EA4" w:rsidR="00B37E44" w:rsidRDefault="008B5900" w:rsidP="00B76189">
            <w:pPr>
              <w:jc w:val="right"/>
            </w:pPr>
            <w:r>
              <w:t>1.210</w:t>
            </w:r>
          </w:p>
        </w:tc>
        <w:tc>
          <w:tcPr>
            <w:tcW w:w="1071" w:type="dxa"/>
            <w:tcBorders>
              <w:top w:val="single" w:sz="12" w:space="0" w:color="44546A" w:themeColor="text2"/>
            </w:tcBorders>
          </w:tcPr>
          <w:p w14:paraId="7A486EAF" w14:textId="646C2D6D" w:rsidR="00B37E44" w:rsidRDefault="008B5900" w:rsidP="00B76189">
            <w:pPr>
              <w:jc w:val="right"/>
            </w:pPr>
            <w:r>
              <w:t>1.080</w:t>
            </w:r>
          </w:p>
        </w:tc>
        <w:tc>
          <w:tcPr>
            <w:tcW w:w="1071" w:type="dxa"/>
            <w:tcBorders>
              <w:top w:val="single" w:sz="12" w:space="0" w:color="44546A" w:themeColor="text2"/>
            </w:tcBorders>
          </w:tcPr>
          <w:p w14:paraId="47CB28E2" w14:textId="30D4DB9D" w:rsidR="00B37E44" w:rsidRDefault="008B5900" w:rsidP="00B76189">
            <w:pPr>
              <w:jc w:val="right"/>
            </w:pPr>
            <w:r>
              <w:t>390</w:t>
            </w:r>
          </w:p>
        </w:tc>
        <w:tc>
          <w:tcPr>
            <w:tcW w:w="1071" w:type="dxa"/>
            <w:gridSpan w:val="2"/>
            <w:tcBorders>
              <w:top w:val="single" w:sz="12" w:space="0" w:color="44546A" w:themeColor="text2"/>
            </w:tcBorders>
          </w:tcPr>
          <w:p w14:paraId="57EC42F0" w14:textId="6E08A6D5" w:rsidR="00B37E44" w:rsidRDefault="008B5900" w:rsidP="00B76189">
            <w:pPr>
              <w:jc w:val="right"/>
            </w:pPr>
            <w:r>
              <w:t>1.900</w:t>
            </w:r>
          </w:p>
        </w:tc>
      </w:tr>
      <w:tr w:rsidR="00F500D6" w14:paraId="47DF3AE7" w14:textId="77777777" w:rsidTr="00F500D6">
        <w:tc>
          <w:tcPr>
            <w:tcW w:w="3754" w:type="dxa"/>
          </w:tcPr>
          <w:p w14:paraId="6E5739B8" w14:textId="735D9C5A" w:rsidR="00B37E44" w:rsidRDefault="00C0157E" w:rsidP="00C0157E">
            <w:pPr>
              <w:pStyle w:val="Lijstalinea"/>
              <w:numPr>
                <w:ilvl w:val="0"/>
                <w:numId w:val="8"/>
              </w:numPr>
            </w:pPr>
            <w:r>
              <w:t>Af: Verstrekken van energietoeslag</w:t>
            </w:r>
          </w:p>
        </w:tc>
        <w:tc>
          <w:tcPr>
            <w:tcW w:w="1070" w:type="dxa"/>
            <w:tcBorders>
              <w:bottom w:val="dashed" w:sz="8" w:space="0" w:color="44546A" w:themeColor="text2"/>
            </w:tcBorders>
          </w:tcPr>
          <w:p w14:paraId="234E4B6B" w14:textId="719620A5" w:rsidR="00B37E44" w:rsidRDefault="00F919B1" w:rsidP="00B76189">
            <w:pPr>
              <w:jc w:val="right"/>
            </w:pPr>
            <w:r>
              <w:t>-697</w:t>
            </w:r>
          </w:p>
        </w:tc>
        <w:tc>
          <w:tcPr>
            <w:tcW w:w="1071" w:type="dxa"/>
            <w:tcBorders>
              <w:bottom w:val="dashed" w:sz="8" w:space="0" w:color="44546A" w:themeColor="text2"/>
            </w:tcBorders>
          </w:tcPr>
          <w:p w14:paraId="0DB02037" w14:textId="4A761570" w:rsidR="00B37E44" w:rsidRDefault="00F919B1" w:rsidP="00B76189">
            <w:pPr>
              <w:jc w:val="right"/>
            </w:pPr>
            <w:r>
              <w:t>0</w:t>
            </w:r>
          </w:p>
        </w:tc>
        <w:tc>
          <w:tcPr>
            <w:tcW w:w="1071" w:type="dxa"/>
            <w:tcBorders>
              <w:bottom w:val="dashed" w:sz="8" w:space="0" w:color="44546A" w:themeColor="text2"/>
            </w:tcBorders>
          </w:tcPr>
          <w:p w14:paraId="38D09760" w14:textId="2F214B65" w:rsidR="00B37E44" w:rsidRDefault="00F919B1" w:rsidP="00B76189">
            <w:pPr>
              <w:jc w:val="right"/>
            </w:pPr>
            <w:r>
              <w:t>0</w:t>
            </w:r>
          </w:p>
        </w:tc>
        <w:tc>
          <w:tcPr>
            <w:tcW w:w="1071" w:type="dxa"/>
            <w:tcBorders>
              <w:bottom w:val="dashed" w:sz="8" w:space="0" w:color="44546A" w:themeColor="text2"/>
            </w:tcBorders>
          </w:tcPr>
          <w:p w14:paraId="354C1CF6" w14:textId="2B563623" w:rsidR="00B37E44" w:rsidRDefault="00F919B1" w:rsidP="00B76189">
            <w:pPr>
              <w:jc w:val="right"/>
            </w:pPr>
            <w:r>
              <w:t>0</w:t>
            </w:r>
          </w:p>
        </w:tc>
        <w:tc>
          <w:tcPr>
            <w:tcW w:w="1071" w:type="dxa"/>
            <w:gridSpan w:val="2"/>
            <w:tcBorders>
              <w:bottom w:val="dashed" w:sz="8" w:space="0" w:color="44546A" w:themeColor="text2"/>
            </w:tcBorders>
          </w:tcPr>
          <w:p w14:paraId="43FFD019" w14:textId="2567AB64" w:rsidR="00B37E44" w:rsidRDefault="00F919B1" w:rsidP="00B76189">
            <w:pPr>
              <w:jc w:val="right"/>
            </w:pPr>
            <w:r>
              <w:t>0</w:t>
            </w:r>
          </w:p>
        </w:tc>
      </w:tr>
      <w:tr w:rsidR="00F500D6" w14:paraId="2BD7EFAB" w14:textId="77777777" w:rsidTr="00F500D6">
        <w:tc>
          <w:tcPr>
            <w:tcW w:w="3754" w:type="dxa"/>
          </w:tcPr>
          <w:p w14:paraId="59E3985E" w14:textId="477B315B" w:rsidR="00B37E44" w:rsidRDefault="00C0157E" w:rsidP="00C0157E">
            <w:pPr>
              <w:pStyle w:val="Lijstalinea"/>
              <w:numPr>
                <w:ilvl w:val="0"/>
                <w:numId w:val="8"/>
              </w:numPr>
            </w:pPr>
            <w:r>
              <w:t>Verbetering begrotingsresultaten</w:t>
            </w:r>
          </w:p>
        </w:tc>
        <w:tc>
          <w:tcPr>
            <w:tcW w:w="1070" w:type="dxa"/>
            <w:tcBorders>
              <w:top w:val="dashed" w:sz="8" w:space="0" w:color="44546A" w:themeColor="text2"/>
              <w:bottom w:val="dashed" w:sz="8" w:space="0" w:color="44546A" w:themeColor="text2"/>
            </w:tcBorders>
          </w:tcPr>
          <w:p w14:paraId="0B592FEF" w14:textId="0DC16DB9" w:rsidR="00B37E44" w:rsidRDefault="00F919B1" w:rsidP="00B76189">
            <w:pPr>
              <w:jc w:val="right"/>
            </w:pPr>
            <w:r>
              <w:t>1.483</w:t>
            </w:r>
          </w:p>
        </w:tc>
        <w:tc>
          <w:tcPr>
            <w:tcW w:w="1071" w:type="dxa"/>
            <w:tcBorders>
              <w:top w:val="dashed" w:sz="8" w:space="0" w:color="44546A" w:themeColor="text2"/>
              <w:bottom w:val="dashed" w:sz="8" w:space="0" w:color="44546A" w:themeColor="text2"/>
            </w:tcBorders>
          </w:tcPr>
          <w:p w14:paraId="779098DF" w14:textId="7C9B0486" w:rsidR="00B37E44" w:rsidRDefault="00F919B1" w:rsidP="00B76189">
            <w:pPr>
              <w:jc w:val="right"/>
            </w:pPr>
            <w:r>
              <w:t>1.</w:t>
            </w:r>
            <w:r w:rsidR="008B5900">
              <w:t>210</w:t>
            </w:r>
          </w:p>
        </w:tc>
        <w:tc>
          <w:tcPr>
            <w:tcW w:w="1071" w:type="dxa"/>
            <w:tcBorders>
              <w:top w:val="dashed" w:sz="8" w:space="0" w:color="44546A" w:themeColor="text2"/>
              <w:bottom w:val="dashed" w:sz="8" w:space="0" w:color="44546A" w:themeColor="text2"/>
            </w:tcBorders>
          </w:tcPr>
          <w:p w14:paraId="014593EF" w14:textId="36663DB9" w:rsidR="00B37E44" w:rsidRDefault="008B5900" w:rsidP="00B76189">
            <w:pPr>
              <w:jc w:val="right"/>
            </w:pPr>
            <w:r>
              <w:t>1.080</w:t>
            </w:r>
          </w:p>
        </w:tc>
        <w:tc>
          <w:tcPr>
            <w:tcW w:w="1071" w:type="dxa"/>
            <w:tcBorders>
              <w:top w:val="dashed" w:sz="8" w:space="0" w:color="44546A" w:themeColor="text2"/>
              <w:bottom w:val="dashed" w:sz="8" w:space="0" w:color="44546A" w:themeColor="text2"/>
            </w:tcBorders>
          </w:tcPr>
          <w:p w14:paraId="6548E11C" w14:textId="2AF6CBCC" w:rsidR="00B37E44" w:rsidRDefault="008B5900" w:rsidP="00B76189">
            <w:pPr>
              <w:jc w:val="right"/>
            </w:pPr>
            <w:r>
              <w:t>390</w:t>
            </w:r>
          </w:p>
        </w:tc>
        <w:tc>
          <w:tcPr>
            <w:tcW w:w="1071" w:type="dxa"/>
            <w:gridSpan w:val="2"/>
            <w:tcBorders>
              <w:top w:val="dashed" w:sz="8" w:space="0" w:color="44546A" w:themeColor="text2"/>
              <w:bottom w:val="dashed" w:sz="8" w:space="0" w:color="44546A" w:themeColor="text2"/>
            </w:tcBorders>
          </w:tcPr>
          <w:p w14:paraId="37F0CC3C" w14:textId="5BA1A020" w:rsidR="00B37E44" w:rsidRDefault="008B5900" w:rsidP="00B76189">
            <w:pPr>
              <w:jc w:val="right"/>
            </w:pPr>
            <w:r>
              <w:t>1.900</w:t>
            </w:r>
          </w:p>
        </w:tc>
      </w:tr>
    </w:tbl>
    <w:p w14:paraId="10634A29" w14:textId="6C46DA33" w:rsidR="00B37E44" w:rsidRDefault="00B37E44" w:rsidP="0039025E"/>
    <w:p w14:paraId="5B4D5551" w14:textId="5D7009E2" w:rsidR="00ED623A" w:rsidRDefault="00EE1A6C" w:rsidP="0039025E">
      <w:r>
        <w:t>De verbetering van de begrotingsresultaten heeft effecten op de bestuursrapportage 2022 en de programmabegroting 202</w:t>
      </w:r>
      <w:r w:rsidR="002B2617">
        <w:t>3</w:t>
      </w:r>
      <w:r>
        <w:t xml:space="preserve"> – 2026</w:t>
      </w:r>
      <w:r w:rsidR="003D3569">
        <w:t xml:space="preserve">. </w:t>
      </w:r>
      <w:r w:rsidR="00131B64">
        <w:t>De werkwijze hiervoor is:</w:t>
      </w:r>
      <w:r>
        <w:t xml:space="preserve"> </w:t>
      </w:r>
    </w:p>
    <w:p w14:paraId="2BECF7EF" w14:textId="573BAE61" w:rsidR="00F500D6" w:rsidRDefault="00F500D6" w:rsidP="00F500D6">
      <w:pPr>
        <w:pStyle w:val="Lijstalinea"/>
        <w:numPr>
          <w:ilvl w:val="0"/>
          <w:numId w:val="7"/>
        </w:numPr>
      </w:pPr>
      <w:r>
        <w:t xml:space="preserve">Het </w:t>
      </w:r>
      <w:r w:rsidR="00511484">
        <w:t xml:space="preserve">financieel </w:t>
      </w:r>
      <w:r>
        <w:t>effect voor 2022 nemen we op in de tweede bestuursrapportage 2022. Hier</w:t>
      </w:r>
      <w:r w:rsidR="00552CF0">
        <w:t>d</w:t>
      </w:r>
      <w:r>
        <w:t xml:space="preserve">oor </w:t>
      </w:r>
      <w:r w:rsidR="00552CF0">
        <w:t xml:space="preserve">komt een </w:t>
      </w:r>
      <w:r w:rsidR="006761F7">
        <w:t>a</w:t>
      </w:r>
      <w:r>
        <w:t>anpassing op het raadsvoorstel.</w:t>
      </w:r>
    </w:p>
    <w:p w14:paraId="3CF05DAF" w14:textId="5F43F48A" w:rsidR="00F500D6" w:rsidRDefault="00F500D6" w:rsidP="00F500D6">
      <w:pPr>
        <w:pStyle w:val="Lijstalinea"/>
        <w:numPr>
          <w:ilvl w:val="0"/>
          <w:numId w:val="7"/>
        </w:numPr>
      </w:pPr>
      <w:r>
        <w:t>De overige jaren betrekken we bij de begrotingsbehandeling 2023 – 2026</w:t>
      </w:r>
      <w:r w:rsidR="00131B64">
        <w:t xml:space="preserve"> door </w:t>
      </w:r>
      <w:r w:rsidR="00DC5906">
        <w:t>de september</w:t>
      </w:r>
      <w:r w:rsidR="008A03C9">
        <w:t>-</w:t>
      </w:r>
      <w:r w:rsidR="00DC5906">
        <w:t>circulaire 2022 op te nemen in het raadsvoorstel samen met overige raadsbesluiten van beg</w:t>
      </w:r>
      <w:r w:rsidR="00511484">
        <w:t>in oktober 2022.</w:t>
      </w:r>
    </w:p>
    <w:p w14:paraId="7552D336" w14:textId="77777777" w:rsidR="00B37E44" w:rsidRDefault="00B37E44" w:rsidP="0039025E"/>
    <w:p w14:paraId="041AB9D2" w14:textId="54661962" w:rsidR="1ACE1CCC" w:rsidRDefault="1ACE1CCC" w:rsidP="1ACE1CCC"/>
    <w:p w14:paraId="72483BF1" w14:textId="1251AF9D" w:rsidR="1ACE1CCC" w:rsidRDefault="1ACE1CCC" w:rsidP="1ACE1CCC"/>
    <w:p w14:paraId="5BB904F8" w14:textId="77777777" w:rsidR="00287B4C" w:rsidRDefault="00287B4C">
      <w:pPr>
        <w:jc w:val="left"/>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br w:type="page"/>
      </w:r>
    </w:p>
    <w:p w14:paraId="697CE7FB" w14:textId="7825C30F" w:rsidR="003D6799" w:rsidRDefault="00EB7D2B" w:rsidP="003D6799">
      <w:pPr>
        <w:rPr>
          <w:rFonts w:asciiTheme="majorHAnsi" w:eastAsiaTheme="majorEastAsia" w:hAnsiTheme="majorHAnsi" w:cstheme="majorBidi"/>
          <w:b/>
          <w:bCs/>
          <w:color w:val="2F5496" w:themeColor="accent1" w:themeShade="BF"/>
          <w:sz w:val="26"/>
          <w:szCs w:val="26"/>
        </w:rPr>
      </w:pPr>
      <w:r w:rsidRPr="00EB7D2B">
        <w:rPr>
          <w:rFonts w:asciiTheme="majorHAnsi" w:eastAsiaTheme="majorEastAsia" w:hAnsiTheme="majorHAnsi" w:cstheme="majorBidi"/>
          <w:b/>
          <w:bCs/>
          <w:color w:val="2F5496" w:themeColor="accent1" w:themeShade="BF"/>
          <w:sz w:val="26"/>
          <w:szCs w:val="26"/>
        </w:rPr>
        <w:lastRenderedPageBreak/>
        <w:t>Uitkomsten van de Septembercirculaire 2022</w:t>
      </w:r>
    </w:p>
    <w:p w14:paraId="177DC9F5" w14:textId="48713CB6" w:rsidR="005312EF" w:rsidRDefault="00334617" w:rsidP="005312EF">
      <w:r>
        <w:t>In onderstaande tabel is opgenomen de omvang van de algemene uitkering voor de jaren 2022 tot en met 2026</w:t>
      </w:r>
      <w:r w:rsidR="007125D3">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4060"/>
        <w:gridCol w:w="892"/>
        <w:gridCol w:w="893"/>
        <w:gridCol w:w="893"/>
        <w:gridCol w:w="893"/>
        <w:gridCol w:w="893"/>
      </w:tblGrid>
      <w:tr w:rsidR="007125D3" w:rsidRPr="007125D3" w14:paraId="0AC65373" w14:textId="77777777" w:rsidTr="6706F686">
        <w:trPr>
          <w:trHeight w:val="300"/>
          <w:tblHeader/>
        </w:trPr>
        <w:tc>
          <w:tcPr>
            <w:tcW w:w="9062" w:type="dxa"/>
            <w:gridSpan w:val="7"/>
            <w:tcBorders>
              <w:bottom w:val="single" w:sz="12" w:space="0" w:color="44546A" w:themeColor="text2"/>
            </w:tcBorders>
            <w:noWrap/>
            <w:hideMark/>
          </w:tcPr>
          <w:p w14:paraId="2CCE8B64" w14:textId="77777777" w:rsidR="007125D3" w:rsidRPr="007125D3" w:rsidRDefault="007125D3">
            <w:pPr>
              <w:rPr>
                <w:b/>
                <w:bCs/>
              </w:rPr>
            </w:pPr>
            <w:r w:rsidRPr="00C0157E">
              <w:rPr>
                <w:b/>
                <w:bCs/>
                <w:color w:val="44546A" w:themeColor="text2"/>
              </w:rPr>
              <w:t>Ontwikkeling algemene uitkering 2022 -2026 (bedragen x € 1.000</w:t>
            </w:r>
            <w:r w:rsidRPr="007125D3">
              <w:rPr>
                <w:b/>
                <w:bCs/>
              </w:rPr>
              <w:t>)</w:t>
            </w:r>
          </w:p>
        </w:tc>
      </w:tr>
      <w:tr w:rsidR="003B3382" w:rsidRPr="007125D3" w14:paraId="3E097CEE" w14:textId="77777777" w:rsidTr="6706F686">
        <w:trPr>
          <w:trHeight w:val="397"/>
          <w:tblHeader/>
        </w:trPr>
        <w:tc>
          <w:tcPr>
            <w:tcW w:w="538" w:type="dxa"/>
            <w:tcBorders>
              <w:top w:val="single" w:sz="12" w:space="0" w:color="44546A" w:themeColor="text2"/>
              <w:bottom w:val="single" w:sz="12" w:space="0" w:color="44546A" w:themeColor="text2"/>
            </w:tcBorders>
            <w:noWrap/>
            <w:vAlign w:val="center"/>
            <w:hideMark/>
          </w:tcPr>
          <w:p w14:paraId="757C0744" w14:textId="2DF16F3F" w:rsidR="007125D3" w:rsidRPr="007125D3" w:rsidRDefault="007125D3" w:rsidP="00247EAE">
            <w:pPr>
              <w:jc w:val="center"/>
              <w:rPr>
                <w:b/>
                <w:bCs/>
              </w:rPr>
            </w:pPr>
          </w:p>
        </w:tc>
        <w:tc>
          <w:tcPr>
            <w:tcW w:w="4060" w:type="dxa"/>
            <w:tcBorders>
              <w:top w:val="single" w:sz="12" w:space="0" w:color="44546A" w:themeColor="text2"/>
              <w:bottom w:val="single" w:sz="12" w:space="0" w:color="44546A" w:themeColor="text2"/>
            </w:tcBorders>
            <w:noWrap/>
            <w:vAlign w:val="center"/>
            <w:hideMark/>
          </w:tcPr>
          <w:p w14:paraId="322FA727" w14:textId="224596D6" w:rsidR="007125D3" w:rsidRPr="007125D3" w:rsidRDefault="007125D3" w:rsidP="00247EAE">
            <w:pPr>
              <w:jc w:val="center"/>
              <w:rPr>
                <w:b/>
                <w:bCs/>
              </w:rPr>
            </w:pPr>
          </w:p>
        </w:tc>
        <w:tc>
          <w:tcPr>
            <w:tcW w:w="892" w:type="dxa"/>
            <w:tcBorders>
              <w:top w:val="single" w:sz="12" w:space="0" w:color="44546A" w:themeColor="text2"/>
              <w:bottom w:val="single" w:sz="12" w:space="0" w:color="44546A" w:themeColor="text2"/>
            </w:tcBorders>
            <w:noWrap/>
            <w:vAlign w:val="center"/>
            <w:hideMark/>
          </w:tcPr>
          <w:p w14:paraId="692C48ED" w14:textId="77777777" w:rsidR="007125D3" w:rsidRPr="007125D3" w:rsidRDefault="007125D3" w:rsidP="00247EAE">
            <w:pPr>
              <w:jc w:val="center"/>
              <w:rPr>
                <w:b/>
                <w:bCs/>
              </w:rPr>
            </w:pPr>
            <w:r w:rsidRPr="007125D3">
              <w:rPr>
                <w:b/>
                <w:bCs/>
              </w:rPr>
              <w:t>2022</w:t>
            </w:r>
          </w:p>
        </w:tc>
        <w:tc>
          <w:tcPr>
            <w:tcW w:w="893" w:type="dxa"/>
            <w:tcBorders>
              <w:top w:val="single" w:sz="12" w:space="0" w:color="44546A" w:themeColor="text2"/>
              <w:bottom w:val="single" w:sz="12" w:space="0" w:color="44546A" w:themeColor="text2"/>
            </w:tcBorders>
            <w:noWrap/>
            <w:vAlign w:val="center"/>
            <w:hideMark/>
          </w:tcPr>
          <w:p w14:paraId="62F68A0E" w14:textId="77777777" w:rsidR="007125D3" w:rsidRPr="007125D3" w:rsidRDefault="007125D3" w:rsidP="00247EAE">
            <w:pPr>
              <w:jc w:val="center"/>
              <w:rPr>
                <w:b/>
                <w:bCs/>
              </w:rPr>
            </w:pPr>
            <w:r w:rsidRPr="007125D3">
              <w:rPr>
                <w:b/>
                <w:bCs/>
              </w:rPr>
              <w:t>2023</w:t>
            </w:r>
          </w:p>
        </w:tc>
        <w:tc>
          <w:tcPr>
            <w:tcW w:w="893" w:type="dxa"/>
            <w:tcBorders>
              <w:top w:val="single" w:sz="12" w:space="0" w:color="44546A" w:themeColor="text2"/>
              <w:bottom w:val="single" w:sz="12" w:space="0" w:color="44546A" w:themeColor="text2"/>
            </w:tcBorders>
            <w:noWrap/>
            <w:vAlign w:val="center"/>
            <w:hideMark/>
          </w:tcPr>
          <w:p w14:paraId="271B32C0" w14:textId="77777777" w:rsidR="007125D3" w:rsidRPr="007125D3" w:rsidRDefault="007125D3" w:rsidP="00247EAE">
            <w:pPr>
              <w:jc w:val="center"/>
              <w:rPr>
                <w:b/>
                <w:bCs/>
              </w:rPr>
            </w:pPr>
            <w:r w:rsidRPr="007125D3">
              <w:rPr>
                <w:b/>
                <w:bCs/>
              </w:rPr>
              <w:t>2024</w:t>
            </w:r>
          </w:p>
        </w:tc>
        <w:tc>
          <w:tcPr>
            <w:tcW w:w="893" w:type="dxa"/>
            <w:tcBorders>
              <w:top w:val="single" w:sz="12" w:space="0" w:color="44546A" w:themeColor="text2"/>
              <w:bottom w:val="single" w:sz="12" w:space="0" w:color="44546A" w:themeColor="text2"/>
            </w:tcBorders>
            <w:noWrap/>
            <w:vAlign w:val="center"/>
            <w:hideMark/>
          </w:tcPr>
          <w:p w14:paraId="5976A64C" w14:textId="77777777" w:rsidR="007125D3" w:rsidRPr="007125D3" w:rsidRDefault="007125D3" w:rsidP="00247EAE">
            <w:pPr>
              <w:jc w:val="center"/>
              <w:rPr>
                <w:b/>
                <w:bCs/>
              </w:rPr>
            </w:pPr>
            <w:r w:rsidRPr="007125D3">
              <w:rPr>
                <w:b/>
                <w:bCs/>
              </w:rPr>
              <w:t>2025</w:t>
            </w:r>
          </w:p>
        </w:tc>
        <w:tc>
          <w:tcPr>
            <w:tcW w:w="893" w:type="dxa"/>
            <w:tcBorders>
              <w:top w:val="single" w:sz="12" w:space="0" w:color="44546A" w:themeColor="text2"/>
              <w:bottom w:val="single" w:sz="12" w:space="0" w:color="44546A" w:themeColor="text2"/>
            </w:tcBorders>
            <w:noWrap/>
            <w:vAlign w:val="center"/>
            <w:hideMark/>
          </w:tcPr>
          <w:p w14:paraId="37D69471" w14:textId="77777777" w:rsidR="007125D3" w:rsidRPr="007125D3" w:rsidRDefault="007125D3" w:rsidP="00247EAE">
            <w:pPr>
              <w:jc w:val="center"/>
              <w:rPr>
                <w:b/>
                <w:bCs/>
              </w:rPr>
            </w:pPr>
            <w:r w:rsidRPr="007125D3">
              <w:rPr>
                <w:b/>
                <w:bCs/>
              </w:rPr>
              <w:t>2026</w:t>
            </w:r>
          </w:p>
        </w:tc>
      </w:tr>
      <w:tr w:rsidR="003B3382" w:rsidRPr="007125D3" w14:paraId="52E58CF4" w14:textId="77777777" w:rsidTr="6706F686">
        <w:trPr>
          <w:trHeight w:val="300"/>
        </w:trPr>
        <w:tc>
          <w:tcPr>
            <w:tcW w:w="538" w:type="dxa"/>
            <w:tcBorders>
              <w:top w:val="single" w:sz="12" w:space="0" w:color="44546A" w:themeColor="text2"/>
            </w:tcBorders>
            <w:noWrap/>
            <w:hideMark/>
          </w:tcPr>
          <w:p w14:paraId="0D0A940D" w14:textId="77777777" w:rsidR="007125D3" w:rsidRPr="007125D3" w:rsidRDefault="007125D3" w:rsidP="007125D3">
            <w:r w:rsidRPr="007125D3">
              <w:t>A.</w:t>
            </w:r>
          </w:p>
        </w:tc>
        <w:tc>
          <w:tcPr>
            <w:tcW w:w="4060" w:type="dxa"/>
            <w:tcBorders>
              <w:top w:val="single" w:sz="12" w:space="0" w:color="44546A" w:themeColor="text2"/>
            </w:tcBorders>
            <w:noWrap/>
            <w:hideMark/>
          </w:tcPr>
          <w:p w14:paraId="69DE652D" w14:textId="77777777" w:rsidR="007125D3" w:rsidRPr="007125D3" w:rsidRDefault="007125D3">
            <w:r w:rsidRPr="007125D3">
              <w:t>Uitkomsten meicirculaire 2022</w:t>
            </w:r>
          </w:p>
        </w:tc>
        <w:tc>
          <w:tcPr>
            <w:tcW w:w="892" w:type="dxa"/>
            <w:tcBorders>
              <w:top w:val="single" w:sz="12" w:space="0" w:color="44546A" w:themeColor="text2"/>
            </w:tcBorders>
            <w:noWrap/>
            <w:hideMark/>
          </w:tcPr>
          <w:p w14:paraId="13DC60DE" w14:textId="77777777" w:rsidR="007125D3" w:rsidRPr="007125D3" w:rsidRDefault="007125D3" w:rsidP="003B3382">
            <w:pPr>
              <w:jc w:val="right"/>
            </w:pPr>
            <w:r w:rsidRPr="007125D3">
              <w:t>64.400</w:t>
            </w:r>
          </w:p>
        </w:tc>
        <w:tc>
          <w:tcPr>
            <w:tcW w:w="893" w:type="dxa"/>
            <w:tcBorders>
              <w:top w:val="single" w:sz="12" w:space="0" w:color="44546A" w:themeColor="text2"/>
            </w:tcBorders>
            <w:noWrap/>
            <w:hideMark/>
          </w:tcPr>
          <w:p w14:paraId="087CDF3F" w14:textId="77777777" w:rsidR="007125D3" w:rsidRPr="007125D3" w:rsidRDefault="007125D3" w:rsidP="003B3382">
            <w:pPr>
              <w:jc w:val="right"/>
            </w:pPr>
            <w:r w:rsidRPr="007125D3">
              <w:t>66.920</w:t>
            </w:r>
          </w:p>
        </w:tc>
        <w:tc>
          <w:tcPr>
            <w:tcW w:w="893" w:type="dxa"/>
            <w:tcBorders>
              <w:top w:val="single" w:sz="12" w:space="0" w:color="44546A" w:themeColor="text2"/>
            </w:tcBorders>
            <w:noWrap/>
            <w:hideMark/>
          </w:tcPr>
          <w:p w14:paraId="398D2903" w14:textId="77777777" w:rsidR="007125D3" w:rsidRPr="007125D3" w:rsidRDefault="007125D3" w:rsidP="003B3382">
            <w:pPr>
              <w:jc w:val="right"/>
            </w:pPr>
            <w:r w:rsidRPr="007125D3">
              <w:t>69.760</w:t>
            </w:r>
          </w:p>
        </w:tc>
        <w:tc>
          <w:tcPr>
            <w:tcW w:w="893" w:type="dxa"/>
            <w:tcBorders>
              <w:top w:val="single" w:sz="12" w:space="0" w:color="44546A" w:themeColor="text2"/>
            </w:tcBorders>
            <w:noWrap/>
            <w:hideMark/>
          </w:tcPr>
          <w:p w14:paraId="776B299C" w14:textId="77777777" w:rsidR="007125D3" w:rsidRPr="007125D3" w:rsidRDefault="007125D3" w:rsidP="003B3382">
            <w:pPr>
              <w:jc w:val="right"/>
            </w:pPr>
            <w:r w:rsidRPr="007125D3">
              <w:t>72.670</w:t>
            </w:r>
          </w:p>
        </w:tc>
        <w:tc>
          <w:tcPr>
            <w:tcW w:w="893" w:type="dxa"/>
            <w:tcBorders>
              <w:top w:val="single" w:sz="12" w:space="0" w:color="44546A" w:themeColor="text2"/>
            </w:tcBorders>
            <w:noWrap/>
            <w:hideMark/>
          </w:tcPr>
          <w:p w14:paraId="6528377C" w14:textId="77777777" w:rsidR="007125D3" w:rsidRPr="007125D3" w:rsidRDefault="007125D3" w:rsidP="003B3382">
            <w:pPr>
              <w:jc w:val="right"/>
            </w:pPr>
            <w:r w:rsidRPr="007125D3">
              <w:t>66.850</w:t>
            </w:r>
          </w:p>
        </w:tc>
      </w:tr>
      <w:tr w:rsidR="003B3382" w:rsidRPr="007125D3" w14:paraId="7868FD91" w14:textId="77777777" w:rsidTr="6706F686">
        <w:trPr>
          <w:trHeight w:val="300"/>
        </w:trPr>
        <w:tc>
          <w:tcPr>
            <w:tcW w:w="538" w:type="dxa"/>
            <w:noWrap/>
            <w:hideMark/>
          </w:tcPr>
          <w:p w14:paraId="4B5D3E9D" w14:textId="77777777" w:rsidR="007125D3" w:rsidRPr="007125D3" w:rsidRDefault="007125D3" w:rsidP="007125D3">
            <w:r w:rsidRPr="007125D3">
              <w:t>B.</w:t>
            </w:r>
          </w:p>
        </w:tc>
        <w:tc>
          <w:tcPr>
            <w:tcW w:w="4060" w:type="dxa"/>
            <w:noWrap/>
            <w:hideMark/>
          </w:tcPr>
          <w:p w14:paraId="5337DBEF" w14:textId="77777777" w:rsidR="007125D3" w:rsidRPr="007125D3" w:rsidRDefault="007125D3">
            <w:r w:rsidRPr="007125D3">
              <w:t>Ontwikkelingen:</w:t>
            </w:r>
          </w:p>
        </w:tc>
        <w:tc>
          <w:tcPr>
            <w:tcW w:w="892" w:type="dxa"/>
            <w:noWrap/>
            <w:hideMark/>
          </w:tcPr>
          <w:p w14:paraId="20FD43EE" w14:textId="77777777" w:rsidR="007125D3" w:rsidRPr="007125D3" w:rsidRDefault="007125D3" w:rsidP="003B3382">
            <w:pPr>
              <w:jc w:val="right"/>
            </w:pPr>
          </w:p>
        </w:tc>
        <w:tc>
          <w:tcPr>
            <w:tcW w:w="893" w:type="dxa"/>
            <w:noWrap/>
            <w:hideMark/>
          </w:tcPr>
          <w:p w14:paraId="2F23CEB7" w14:textId="77777777" w:rsidR="007125D3" w:rsidRPr="007125D3" w:rsidRDefault="007125D3" w:rsidP="003B3382">
            <w:pPr>
              <w:jc w:val="right"/>
            </w:pPr>
          </w:p>
        </w:tc>
        <w:tc>
          <w:tcPr>
            <w:tcW w:w="893" w:type="dxa"/>
            <w:noWrap/>
            <w:hideMark/>
          </w:tcPr>
          <w:p w14:paraId="0BBE0060" w14:textId="77777777" w:rsidR="007125D3" w:rsidRPr="007125D3" w:rsidRDefault="007125D3" w:rsidP="003B3382">
            <w:pPr>
              <w:jc w:val="right"/>
            </w:pPr>
          </w:p>
        </w:tc>
        <w:tc>
          <w:tcPr>
            <w:tcW w:w="893" w:type="dxa"/>
            <w:noWrap/>
            <w:hideMark/>
          </w:tcPr>
          <w:p w14:paraId="132117B4" w14:textId="77777777" w:rsidR="007125D3" w:rsidRPr="007125D3" w:rsidRDefault="007125D3" w:rsidP="003B3382">
            <w:pPr>
              <w:jc w:val="right"/>
            </w:pPr>
          </w:p>
        </w:tc>
        <w:tc>
          <w:tcPr>
            <w:tcW w:w="893" w:type="dxa"/>
            <w:noWrap/>
            <w:hideMark/>
          </w:tcPr>
          <w:p w14:paraId="77970A09" w14:textId="77777777" w:rsidR="007125D3" w:rsidRPr="007125D3" w:rsidRDefault="007125D3" w:rsidP="003B3382">
            <w:pPr>
              <w:jc w:val="right"/>
            </w:pPr>
          </w:p>
        </w:tc>
      </w:tr>
      <w:tr w:rsidR="003B3382" w:rsidRPr="007125D3" w14:paraId="12F6BD2A" w14:textId="77777777" w:rsidTr="6706F686">
        <w:trPr>
          <w:trHeight w:val="300"/>
        </w:trPr>
        <w:tc>
          <w:tcPr>
            <w:tcW w:w="538" w:type="dxa"/>
            <w:noWrap/>
            <w:hideMark/>
          </w:tcPr>
          <w:p w14:paraId="6ED49F15" w14:textId="77777777" w:rsidR="007125D3" w:rsidRPr="007125D3" w:rsidRDefault="007125D3"/>
        </w:tc>
        <w:tc>
          <w:tcPr>
            <w:tcW w:w="4060" w:type="dxa"/>
            <w:noWrap/>
            <w:hideMark/>
          </w:tcPr>
          <w:p w14:paraId="6DE7C8C2" w14:textId="77777777" w:rsidR="007125D3" w:rsidRPr="007125D3" w:rsidRDefault="007125D3" w:rsidP="005D456B">
            <w:pPr>
              <w:pStyle w:val="Lijstalinea"/>
              <w:numPr>
                <w:ilvl w:val="0"/>
                <w:numId w:val="4"/>
              </w:numPr>
              <w:jc w:val="left"/>
            </w:pPr>
            <w:r w:rsidRPr="007125D3">
              <w:t>Energietoeslag</w:t>
            </w:r>
          </w:p>
        </w:tc>
        <w:tc>
          <w:tcPr>
            <w:tcW w:w="892" w:type="dxa"/>
            <w:noWrap/>
            <w:hideMark/>
          </w:tcPr>
          <w:p w14:paraId="700DBC79" w14:textId="77777777" w:rsidR="007125D3" w:rsidRPr="007125D3" w:rsidRDefault="007125D3" w:rsidP="003B3382">
            <w:pPr>
              <w:jc w:val="right"/>
            </w:pPr>
            <w:r w:rsidRPr="007125D3">
              <w:t>697</w:t>
            </w:r>
          </w:p>
        </w:tc>
        <w:tc>
          <w:tcPr>
            <w:tcW w:w="893" w:type="dxa"/>
            <w:noWrap/>
            <w:hideMark/>
          </w:tcPr>
          <w:p w14:paraId="5A0473DA" w14:textId="77777777" w:rsidR="007125D3" w:rsidRPr="007125D3" w:rsidRDefault="007125D3" w:rsidP="003B3382">
            <w:pPr>
              <w:jc w:val="right"/>
            </w:pPr>
            <w:r w:rsidRPr="007125D3">
              <w:t>0</w:t>
            </w:r>
          </w:p>
        </w:tc>
        <w:tc>
          <w:tcPr>
            <w:tcW w:w="893" w:type="dxa"/>
            <w:noWrap/>
            <w:hideMark/>
          </w:tcPr>
          <w:p w14:paraId="77DD62CF" w14:textId="77777777" w:rsidR="007125D3" w:rsidRPr="007125D3" w:rsidRDefault="007125D3" w:rsidP="003B3382">
            <w:pPr>
              <w:jc w:val="right"/>
            </w:pPr>
            <w:r w:rsidRPr="007125D3">
              <w:t>0</w:t>
            </w:r>
          </w:p>
        </w:tc>
        <w:tc>
          <w:tcPr>
            <w:tcW w:w="893" w:type="dxa"/>
            <w:noWrap/>
            <w:hideMark/>
          </w:tcPr>
          <w:p w14:paraId="03249FA1" w14:textId="77777777" w:rsidR="007125D3" w:rsidRPr="007125D3" w:rsidRDefault="007125D3" w:rsidP="003B3382">
            <w:pPr>
              <w:jc w:val="right"/>
            </w:pPr>
            <w:r w:rsidRPr="007125D3">
              <w:t>0</w:t>
            </w:r>
          </w:p>
        </w:tc>
        <w:tc>
          <w:tcPr>
            <w:tcW w:w="893" w:type="dxa"/>
            <w:noWrap/>
            <w:hideMark/>
          </w:tcPr>
          <w:p w14:paraId="2F0CA3DA" w14:textId="77777777" w:rsidR="007125D3" w:rsidRPr="007125D3" w:rsidRDefault="007125D3" w:rsidP="003B3382">
            <w:pPr>
              <w:jc w:val="right"/>
            </w:pPr>
            <w:r w:rsidRPr="007125D3">
              <w:t>0</w:t>
            </w:r>
          </w:p>
        </w:tc>
      </w:tr>
      <w:tr w:rsidR="003B3382" w:rsidRPr="007125D3" w14:paraId="713D7471" w14:textId="77777777" w:rsidTr="6706F686">
        <w:trPr>
          <w:trHeight w:val="300"/>
        </w:trPr>
        <w:tc>
          <w:tcPr>
            <w:tcW w:w="538" w:type="dxa"/>
            <w:noWrap/>
            <w:hideMark/>
          </w:tcPr>
          <w:p w14:paraId="1EC3AC02" w14:textId="77777777" w:rsidR="007125D3" w:rsidRPr="007125D3" w:rsidRDefault="007125D3" w:rsidP="007125D3"/>
        </w:tc>
        <w:tc>
          <w:tcPr>
            <w:tcW w:w="4060" w:type="dxa"/>
            <w:noWrap/>
            <w:hideMark/>
          </w:tcPr>
          <w:p w14:paraId="53AA8199" w14:textId="77777777" w:rsidR="007125D3" w:rsidRPr="007125D3" w:rsidRDefault="007125D3" w:rsidP="005D456B">
            <w:pPr>
              <w:pStyle w:val="Lijstalinea"/>
              <w:numPr>
                <w:ilvl w:val="0"/>
                <w:numId w:val="4"/>
              </w:numPr>
              <w:jc w:val="left"/>
            </w:pPr>
            <w:r w:rsidRPr="007125D3">
              <w:t>Plafond BTW-compensatiefonds</w:t>
            </w:r>
          </w:p>
        </w:tc>
        <w:tc>
          <w:tcPr>
            <w:tcW w:w="892" w:type="dxa"/>
            <w:noWrap/>
            <w:hideMark/>
          </w:tcPr>
          <w:p w14:paraId="4F3A9F40" w14:textId="77777777" w:rsidR="007125D3" w:rsidRPr="007125D3" w:rsidRDefault="007125D3" w:rsidP="003B3382">
            <w:pPr>
              <w:jc w:val="right"/>
            </w:pPr>
            <w:r w:rsidRPr="007125D3">
              <w:t>546</w:t>
            </w:r>
          </w:p>
        </w:tc>
        <w:tc>
          <w:tcPr>
            <w:tcW w:w="893" w:type="dxa"/>
            <w:noWrap/>
            <w:hideMark/>
          </w:tcPr>
          <w:p w14:paraId="16FC3DD5" w14:textId="77777777" w:rsidR="007125D3" w:rsidRPr="007125D3" w:rsidRDefault="007125D3" w:rsidP="003B3382">
            <w:pPr>
              <w:jc w:val="right"/>
            </w:pPr>
            <w:r w:rsidRPr="007125D3">
              <w:t>0</w:t>
            </w:r>
          </w:p>
        </w:tc>
        <w:tc>
          <w:tcPr>
            <w:tcW w:w="893" w:type="dxa"/>
            <w:noWrap/>
            <w:hideMark/>
          </w:tcPr>
          <w:p w14:paraId="65DCD737" w14:textId="77777777" w:rsidR="007125D3" w:rsidRPr="007125D3" w:rsidRDefault="007125D3" w:rsidP="003B3382">
            <w:pPr>
              <w:jc w:val="right"/>
            </w:pPr>
            <w:r w:rsidRPr="007125D3">
              <w:t>0</w:t>
            </w:r>
          </w:p>
        </w:tc>
        <w:tc>
          <w:tcPr>
            <w:tcW w:w="893" w:type="dxa"/>
            <w:noWrap/>
            <w:hideMark/>
          </w:tcPr>
          <w:p w14:paraId="643933B7" w14:textId="77777777" w:rsidR="007125D3" w:rsidRPr="007125D3" w:rsidRDefault="007125D3" w:rsidP="003B3382">
            <w:pPr>
              <w:jc w:val="right"/>
            </w:pPr>
            <w:r w:rsidRPr="007125D3">
              <w:t>0</w:t>
            </w:r>
          </w:p>
        </w:tc>
        <w:tc>
          <w:tcPr>
            <w:tcW w:w="893" w:type="dxa"/>
            <w:noWrap/>
            <w:hideMark/>
          </w:tcPr>
          <w:p w14:paraId="0181F26A" w14:textId="77777777" w:rsidR="007125D3" w:rsidRPr="007125D3" w:rsidRDefault="007125D3" w:rsidP="003B3382">
            <w:pPr>
              <w:jc w:val="right"/>
            </w:pPr>
            <w:r w:rsidRPr="007125D3">
              <w:t>0</w:t>
            </w:r>
          </w:p>
        </w:tc>
      </w:tr>
      <w:tr w:rsidR="003B3382" w:rsidRPr="007125D3" w14:paraId="72368D1B" w14:textId="77777777" w:rsidTr="6706F686">
        <w:trPr>
          <w:trHeight w:val="300"/>
        </w:trPr>
        <w:tc>
          <w:tcPr>
            <w:tcW w:w="538" w:type="dxa"/>
            <w:noWrap/>
            <w:hideMark/>
          </w:tcPr>
          <w:p w14:paraId="5DA90C22" w14:textId="77777777" w:rsidR="007125D3" w:rsidRPr="007125D3" w:rsidRDefault="007125D3" w:rsidP="007125D3"/>
        </w:tc>
        <w:tc>
          <w:tcPr>
            <w:tcW w:w="4060" w:type="dxa"/>
            <w:noWrap/>
            <w:hideMark/>
          </w:tcPr>
          <w:p w14:paraId="39436E1C" w14:textId="77777777" w:rsidR="007125D3" w:rsidRPr="007125D3" w:rsidRDefault="007125D3" w:rsidP="005D456B">
            <w:pPr>
              <w:pStyle w:val="Lijstalinea"/>
              <w:numPr>
                <w:ilvl w:val="0"/>
                <w:numId w:val="4"/>
              </w:numPr>
              <w:jc w:val="left"/>
            </w:pPr>
            <w:r w:rsidRPr="007125D3">
              <w:t>Invoeringskosten Omgevingswet</w:t>
            </w:r>
          </w:p>
        </w:tc>
        <w:tc>
          <w:tcPr>
            <w:tcW w:w="892" w:type="dxa"/>
            <w:noWrap/>
            <w:hideMark/>
          </w:tcPr>
          <w:p w14:paraId="6AE40861" w14:textId="77777777" w:rsidR="007125D3" w:rsidRPr="007125D3" w:rsidRDefault="007125D3" w:rsidP="003B3382">
            <w:pPr>
              <w:jc w:val="right"/>
            </w:pPr>
            <w:r w:rsidRPr="007125D3">
              <w:t>409</w:t>
            </w:r>
          </w:p>
        </w:tc>
        <w:tc>
          <w:tcPr>
            <w:tcW w:w="893" w:type="dxa"/>
            <w:noWrap/>
            <w:hideMark/>
          </w:tcPr>
          <w:p w14:paraId="492253C5" w14:textId="77777777" w:rsidR="007125D3" w:rsidRPr="007125D3" w:rsidRDefault="007125D3" w:rsidP="003B3382">
            <w:pPr>
              <w:jc w:val="right"/>
            </w:pPr>
            <w:r w:rsidRPr="007125D3">
              <w:t>0</w:t>
            </w:r>
          </w:p>
        </w:tc>
        <w:tc>
          <w:tcPr>
            <w:tcW w:w="893" w:type="dxa"/>
            <w:noWrap/>
            <w:hideMark/>
          </w:tcPr>
          <w:p w14:paraId="44F48103" w14:textId="77777777" w:rsidR="007125D3" w:rsidRPr="007125D3" w:rsidRDefault="007125D3" w:rsidP="003B3382">
            <w:pPr>
              <w:jc w:val="right"/>
            </w:pPr>
            <w:r w:rsidRPr="007125D3">
              <w:t>0</w:t>
            </w:r>
          </w:p>
        </w:tc>
        <w:tc>
          <w:tcPr>
            <w:tcW w:w="893" w:type="dxa"/>
            <w:noWrap/>
            <w:hideMark/>
          </w:tcPr>
          <w:p w14:paraId="73061EC3" w14:textId="77777777" w:rsidR="007125D3" w:rsidRPr="007125D3" w:rsidRDefault="007125D3" w:rsidP="003B3382">
            <w:pPr>
              <w:jc w:val="right"/>
            </w:pPr>
            <w:r w:rsidRPr="007125D3">
              <w:t>0</w:t>
            </w:r>
          </w:p>
        </w:tc>
        <w:tc>
          <w:tcPr>
            <w:tcW w:w="893" w:type="dxa"/>
            <w:noWrap/>
            <w:hideMark/>
          </w:tcPr>
          <w:p w14:paraId="4CD71467" w14:textId="77777777" w:rsidR="007125D3" w:rsidRPr="007125D3" w:rsidRDefault="007125D3" w:rsidP="003B3382">
            <w:pPr>
              <w:jc w:val="right"/>
            </w:pPr>
            <w:r w:rsidRPr="007125D3">
              <w:t>0</w:t>
            </w:r>
          </w:p>
        </w:tc>
      </w:tr>
      <w:tr w:rsidR="003B3382" w:rsidRPr="007125D3" w14:paraId="32C17F56" w14:textId="77777777" w:rsidTr="00F667D2">
        <w:trPr>
          <w:trHeight w:val="300"/>
        </w:trPr>
        <w:tc>
          <w:tcPr>
            <w:tcW w:w="538" w:type="dxa"/>
            <w:noWrap/>
            <w:hideMark/>
          </w:tcPr>
          <w:p w14:paraId="31D02EE9" w14:textId="77777777" w:rsidR="007125D3" w:rsidRPr="007125D3" w:rsidRDefault="007125D3" w:rsidP="007125D3"/>
        </w:tc>
        <w:tc>
          <w:tcPr>
            <w:tcW w:w="4060" w:type="dxa"/>
            <w:noWrap/>
            <w:hideMark/>
          </w:tcPr>
          <w:p w14:paraId="1AA45BEA" w14:textId="77777777" w:rsidR="007125D3" w:rsidRPr="007125D3" w:rsidRDefault="007125D3" w:rsidP="005D456B">
            <w:pPr>
              <w:pStyle w:val="Lijstalinea"/>
              <w:numPr>
                <w:ilvl w:val="0"/>
                <w:numId w:val="4"/>
              </w:numPr>
              <w:jc w:val="left"/>
            </w:pPr>
            <w:r w:rsidRPr="007125D3">
              <w:t>Accres/algemene ontwikkelingen</w:t>
            </w:r>
          </w:p>
        </w:tc>
        <w:tc>
          <w:tcPr>
            <w:tcW w:w="892" w:type="dxa"/>
            <w:noWrap/>
            <w:hideMark/>
          </w:tcPr>
          <w:p w14:paraId="2E66ED7C" w14:textId="6EED0416" w:rsidR="007125D3" w:rsidRPr="007125D3" w:rsidRDefault="6706F686" w:rsidP="003B3382">
            <w:pPr>
              <w:jc w:val="right"/>
            </w:pPr>
            <w:r>
              <w:t>379</w:t>
            </w:r>
          </w:p>
        </w:tc>
        <w:tc>
          <w:tcPr>
            <w:tcW w:w="893" w:type="dxa"/>
            <w:noWrap/>
          </w:tcPr>
          <w:p w14:paraId="3DB180D8" w14:textId="3FACE714" w:rsidR="007125D3" w:rsidRPr="007125D3" w:rsidRDefault="00D724BD" w:rsidP="003B3382">
            <w:pPr>
              <w:jc w:val="right"/>
            </w:pPr>
            <w:r>
              <w:t>1.073</w:t>
            </w:r>
          </w:p>
        </w:tc>
        <w:tc>
          <w:tcPr>
            <w:tcW w:w="893" w:type="dxa"/>
            <w:noWrap/>
          </w:tcPr>
          <w:p w14:paraId="5DA8AD4B" w14:textId="263DDB82" w:rsidR="007125D3" w:rsidRPr="007125D3" w:rsidRDefault="00D724BD" w:rsidP="003B3382">
            <w:pPr>
              <w:jc w:val="right"/>
            </w:pPr>
            <w:r>
              <w:t>387</w:t>
            </w:r>
          </w:p>
        </w:tc>
        <w:tc>
          <w:tcPr>
            <w:tcW w:w="893" w:type="dxa"/>
            <w:noWrap/>
          </w:tcPr>
          <w:p w14:paraId="2B0CF362" w14:textId="1D910A7F" w:rsidR="007125D3" w:rsidRPr="007125D3" w:rsidRDefault="00D724BD" w:rsidP="003B3382">
            <w:pPr>
              <w:jc w:val="right"/>
            </w:pPr>
            <w:r>
              <w:t>-147</w:t>
            </w:r>
          </w:p>
        </w:tc>
        <w:tc>
          <w:tcPr>
            <w:tcW w:w="893" w:type="dxa"/>
            <w:noWrap/>
          </w:tcPr>
          <w:p w14:paraId="2AE1C7FA" w14:textId="2D72B7C2" w:rsidR="007125D3" w:rsidRPr="007125D3" w:rsidRDefault="001A0D35" w:rsidP="003B3382">
            <w:pPr>
              <w:jc w:val="right"/>
            </w:pPr>
            <w:r>
              <w:t>90</w:t>
            </w:r>
          </w:p>
        </w:tc>
      </w:tr>
      <w:tr w:rsidR="003B3382" w:rsidRPr="007125D3" w14:paraId="23A43D32" w14:textId="77777777" w:rsidTr="6706F686">
        <w:trPr>
          <w:trHeight w:val="300"/>
        </w:trPr>
        <w:tc>
          <w:tcPr>
            <w:tcW w:w="538" w:type="dxa"/>
            <w:noWrap/>
            <w:hideMark/>
          </w:tcPr>
          <w:p w14:paraId="0F2B99DD" w14:textId="77777777" w:rsidR="007125D3" w:rsidRPr="007125D3" w:rsidRDefault="007125D3" w:rsidP="007125D3"/>
        </w:tc>
        <w:tc>
          <w:tcPr>
            <w:tcW w:w="4060" w:type="dxa"/>
            <w:noWrap/>
            <w:hideMark/>
          </w:tcPr>
          <w:p w14:paraId="16BA64BE" w14:textId="77777777" w:rsidR="007125D3" w:rsidRPr="007125D3" w:rsidRDefault="6706F686" w:rsidP="005D456B">
            <w:pPr>
              <w:pStyle w:val="Lijstalinea"/>
              <w:numPr>
                <w:ilvl w:val="0"/>
                <w:numId w:val="4"/>
              </w:numPr>
              <w:jc w:val="left"/>
            </w:pPr>
            <w:r>
              <w:t>Wet kwaliteitsborging bouw (</w:t>
            </w:r>
            <w:proofErr w:type="spellStart"/>
            <w:r>
              <w:t>Wkb</w:t>
            </w:r>
            <w:proofErr w:type="spellEnd"/>
            <w:r>
              <w:t>)</w:t>
            </w:r>
          </w:p>
        </w:tc>
        <w:tc>
          <w:tcPr>
            <w:tcW w:w="892" w:type="dxa"/>
            <w:noWrap/>
            <w:hideMark/>
          </w:tcPr>
          <w:p w14:paraId="07B77C02" w14:textId="77777777" w:rsidR="007125D3" w:rsidRPr="007125D3" w:rsidRDefault="007125D3" w:rsidP="003B3382">
            <w:pPr>
              <w:jc w:val="right"/>
            </w:pPr>
            <w:r w:rsidRPr="007125D3">
              <w:t>67</w:t>
            </w:r>
          </w:p>
        </w:tc>
        <w:tc>
          <w:tcPr>
            <w:tcW w:w="893" w:type="dxa"/>
            <w:noWrap/>
            <w:hideMark/>
          </w:tcPr>
          <w:p w14:paraId="251D07EF" w14:textId="77777777" w:rsidR="007125D3" w:rsidRPr="007125D3" w:rsidRDefault="007125D3" w:rsidP="003B3382">
            <w:pPr>
              <w:jc w:val="right"/>
            </w:pPr>
            <w:r w:rsidRPr="007125D3">
              <w:t>27</w:t>
            </w:r>
          </w:p>
        </w:tc>
        <w:tc>
          <w:tcPr>
            <w:tcW w:w="893" w:type="dxa"/>
            <w:noWrap/>
            <w:hideMark/>
          </w:tcPr>
          <w:p w14:paraId="65C61FEF" w14:textId="77777777" w:rsidR="007125D3" w:rsidRPr="007125D3" w:rsidRDefault="007125D3" w:rsidP="003B3382">
            <w:pPr>
              <w:jc w:val="right"/>
            </w:pPr>
            <w:r w:rsidRPr="007125D3">
              <w:t>27</w:t>
            </w:r>
          </w:p>
        </w:tc>
        <w:tc>
          <w:tcPr>
            <w:tcW w:w="893" w:type="dxa"/>
            <w:noWrap/>
            <w:hideMark/>
          </w:tcPr>
          <w:p w14:paraId="7CC3F1EE" w14:textId="77777777" w:rsidR="007125D3" w:rsidRPr="007125D3" w:rsidRDefault="007125D3" w:rsidP="003B3382">
            <w:pPr>
              <w:jc w:val="right"/>
            </w:pPr>
            <w:r w:rsidRPr="007125D3">
              <w:t>27</w:t>
            </w:r>
          </w:p>
        </w:tc>
        <w:tc>
          <w:tcPr>
            <w:tcW w:w="893" w:type="dxa"/>
            <w:noWrap/>
            <w:hideMark/>
          </w:tcPr>
          <w:p w14:paraId="04253D10" w14:textId="77777777" w:rsidR="007125D3" w:rsidRPr="007125D3" w:rsidRDefault="007125D3" w:rsidP="003B3382">
            <w:pPr>
              <w:jc w:val="right"/>
            </w:pPr>
            <w:r w:rsidRPr="007125D3">
              <w:t>27</w:t>
            </w:r>
          </w:p>
        </w:tc>
      </w:tr>
      <w:tr w:rsidR="003B3382" w:rsidRPr="007125D3" w14:paraId="30008782" w14:textId="77777777" w:rsidTr="6706F686">
        <w:trPr>
          <w:trHeight w:val="300"/>
        </w:trPr>
        <w:tc>
          <w:tcPr>
            <w:tcW w:w="538" w:type="dxa"/>
            <w:noWrap/>
            <w:hideMark/>
          </w:tcPr>
          <w:p w14:paraId="6ECC6B59" w14:textId="77777777" w:rsidR="007125D3" w:rsidRPr="007125D3" w:rsidRDefault="007125D3" w:rsidP="007125D3"/>
        </w:tc>
        <w:tc>
          <w:tcPr>
            <w:tcW w:w="4060" w:type="dxa"/>
            <w:noWrap/>
            <w:hideMark/>
          </w:tcPr>
          <w:p w14:paraId="333F1A69" w14:textId="77777777" w:rsidR="007125D3" w:rsidRPr="007125D3" w:rsidRDefault="6706F686" w:rsidP="005D456B">
            <w:pPr>
              <w:pStyle w:val="Lijstalinea"/>
              <w:numPr>
                <w:ilvl w:val="0"/>
                <w:numId w:val="4"/>
              </w:numPr>
              <w:jc w:val="left"/>
            </w:pPr>
            <w:r>
              <w:t>Asiel (inburgering)</w:t>
            </w:r>
          </w:p>
        </w:tc>
        <w:tc>
          <w:tcPr>
            <w:tcW w:w="892" w:type="dxa"/>
            <w:noWrap/>
            <w:hideMark/>
          </w:tcPr>
          <w:p w14:paraId="16E50956" w14:textId="77777777" w:rsidR="007125D3" w:rsidRPr="007125D3" w:rsidRDefault="007125D3" w:rsidP="003B3382">
            <w:pPr>
              <w:jc w:val="right"/>
            </w:pPr>
            <w:r w:rsidRPr="007125D3">
              <w:t>50</w:t>
            </w:r>
          </w:p>
        </w:tc>
        <w:tc>
          <w:tcPr>
            <w:tcW w:w="893" w:type="dxa"/>
            <w:noWrap/>
            <w:hideMark/>
          </w:tcPr>
          <w:p w14:paraId="6BA3DDE3" w14:textId="77777777" w:rsidR="007125D3" w:rsidRPr="007125D3" w:rsidRDefault="007125D3" w:rsidP="003B3382">
            <w:pPr>
              <w:jc w:val="right"/>
            </w:pPr>
            <w:r w:rsidRPr="007125D3">
              <w:t>110</w:t>
            </w:r>
          </w:p>
        </w:tc>
        <w:tc>
          <w:tcPr>
            <w:tcW w:w="893" w:type="dxa"/>
            <w:noWrap/>
            <w:hideMark/>
          </w:tcPr>
          <w:p w14:paraId="08844FC5" w14:textId="77777777" w:rsidR="007125D3" w:rsidRPr="007125D3" w:rsidRDefault="007125D3" w:rsidP="003B3382">
            <w:pPr>
              <w:jc w:val="right"/>
            </w:pPr>
            <w:r w:rsidRPr="007125D3">
              <w:t>86</w:t>
            </w:r>
          </w:p>
        </w:tc>
        <w:tc>
          <w:tcPr>
            <w:tcW w:w="893" w:type="dxa"/>
            <w:noWrap/>
            <w:hideMark/>
          </w:tcPr>
          <w:p w14:paraId="56F4E73F" w14:textId="77777777" w:rsidR="007125D3" w:rsidRPr="007125D3" w:rsidRDefault="007125D3" w:rsidP="003B3382">
            <w:pPr>
              <w:jc w:val="right"/>
            </w:pPr>
            <w:r w:rsidRPr="007125D3">
              <w:t>0</w:t>
            </w:r>
          </w:p>
        </w:tc>
        <w:tc>
          <w:tcPr>
            <w:tcW w:w="893" w:type="dxa"/>
            <w:noWrap/>
            <w:hideMark/>
          </w:tcPr>
          <w:p w14:paraId="0C583BF3" w14:textId="77777777" w:rsidR="007125D3" w:rsidRPr="007125D3" w:rsidRDefault="007125D3" w:rsidP="003B3382">
            <w:pPr>
              <w:jc w:val="right"/>
            </w:pPr>
            <w:r w:rsidRPr="007125D3">
              <w:t>0</w:t>
            </w:r>
          </w:p>
        </w:tc>
      </w:tr>
      <w:tr w:rsidR="003B3382" w:rsidRPr="007125D3" w14:paraId="39D84BF5" w14:textId="77777777" w:rsidTr="6706F686">
        <w:trPr>
          <w:trHeight w:val="300"/>
        </w:trPr>
        <w:tc>
          <w:tcPr>
            <w:tcW w:w="538" w:type="dxa"/>
            <w:noWrap/>
            <w:hideMark/>
          </w:tcPr>
          <w:p w14:paraId="1F5B62D7" w14:textId="77777777" w:rsidR="007125D3" w:rsidRPr="007125D3" w:rsidRDefault="007125D3" w:rsidP="007125D3"/>
        </w:tc>
        <w:tc>
          <w:tcPr>
            <w:tcW w:w="4060" w:type="dxa"/>
            <w:noWrap/>
            <w:hideMark/>
          </w:tcPr>
          <w:p w14:paraId="0FEB9911" w14:textId="77777777" w:rsidR="007125D3" w:rsidRPr="007125D3" w:rsidRDefault="6706F686" w:rsidP="005D456B">
            <w:pPr>
              <w:pStyle w:val="Lijstalinea"/>
              <w:numPr>
                <w:ilvl w:val="0"/>
                <w:numId w:val="4"/>
              </w:numPr>
              <w:jc w:val="left"/>
            </w:pPr>
            <w:r>
              <w:t>Leerlingenvervoer Oekraïne</w:t>
            </w:r>
          </w:p>
        </w:tc>
        <w:tc>
          <w:tcPr>
            <w:tcW w:w="892" w:type="dxa"/>
            <w:noWrap/>
            <w:hideMark/>
          </w:tcPr>
          <w:p w14:paraId="5C5BD52D" w14:textId="77777777" w:rsidR="007125D3" w:rsidRPr="007125D3" w:rsidRDefault="007125D3" w:rsidP="003B3382">
            <w:pPr>
              <w:jc w:val="right"/>
            </w:pPr>
            <w:r w:rsidRPr="007125D3">
              <w:t>32</w:t>
            </w:r>
          </w:p>
        </w:tc>
        <w:tc>
          <w:tcPr>
            <w:tcW w:w="893" w:type="dxa"/>
            <w:noWrap/>
            <w:hideMark/>
          </w:tcPr>
          <w:p w14:paraId="4A0DFB6F" w14:textId="77777777" w:rsidR="007125D3" w:rsidRPr="007125D3" w:rsidRDefault="007125D3" w:rsidP="003B3382">
            <w:pPr>
              <w:jc w:val="right"/>
            </w:pPr>
            <w:r w:rsidRPr="007125D3">
              <w:t>0</w:t>
            </w:r>
          </w:p>
        </w:tc>
        <w:tc>
          <w:tcPr>
            <w:tcW w:w="893" w:type="dxa"/>
            <w:noWrap/>
            <w:hideMark/>
          </w:tcPr>
          <w:p w14:paraId="1573B43C" w14:textId="7289C789" w:rsidR="007125D3" w:rsidRPr="007125D3" w:rsidRDefault="002B2617" w:rsidP="003B3382">
            <w:pPr>
              <w:jc w:val="right"/>
            </w:pPr>
            <w:r>
              <w:t>0</w:t>
            </w:r>
          </w:p>
        </w:tc>
        <w:tc>
          <w:tcPr>
            <w:tcW w:w="893" w:type="dxa"/>
            <w:noWrap/>
            <w:hideMark/>
          </w:tcPr>
          <w:p w14:paraId="12D60C49" w14:textId="2AB8C63C" w:rsidR="007125D3" w:rsidRPr="007125D3" w:rsidRDefault="002B2617" w:rsidP="003B3382">
            <w:pPr>
              <w:jc w:val="right"/>
            </w:pPr>
            <w:r>
              <w:t>0</w:t>
            </w:r>
          </w:p>
        </w:tc>
        <w:tc>
          <w:tcPr>
            <w:tcW w:w="893" w:type="dxa"/>
            <w:noWrap/>
            <w:hideMark/>
          </w:tcPr>
          <w:p w14:paraId="38A1FF9F" w14:textId="0D99C231" w:rsidR="007125D3" w:rsidRPr="007125D3" w:rsidRDefault="002B2617" w:rsidP="003B3382">
            <w:pPr>
              <w:jc w:val="right"/>
            </w:pPr>
            <w:r>
              <w:t>0</w:t>
            </w:r>
          </w:p>
        </w:tc>
      </w:tr>
      <w:tr w:rsidR="003B3382" w:rsidRPr="007125D3" w14:paraId="1821BDD0" w14:textId="77777777" w:rsidTr="6706F686">
        <w:trPr>
          <w:trHeight w:val="300"/>
        </w:trPr>
        <w:tc>
          <w:tcPr>
            <w:tcW w:w="538" w:type="dxa"/>
            <w:noWrap/>
            <w:hideMark/>
          </w:tcPr>
          <w:p w14:paraId="39E6BDA3" w14:textId="77777777" w:rsidR="007125D3" w:rsidRPr="007125D3" w:rsidRDefault="007125D3"/>
        </w:tc>
        <w:tc>
          <w:tcPr>
            <w:tcW w:w="4060" w:type="dxa"/>
            <w:noWrap/>
            <w:hideMark/>
          </w:tcPr>
          <w:p w14:paraId="6405E291" w14:textId="0C4ABC51" w:rsidR="007125D3" w:rsidRPr="007125D3" w:rsidRDefault="6706F686" w:rsidP="005D456B">
            <w:pPr>
              <w:pStyle w:val="Lijstalinea"/>
              <w:numPr>
                <w:ilvl w:val="0"/>
                <w:numId w:val="4"/>
              </w:numPr>
              <w:jc w:val="left"/>
            </w:pPr>
            <w:r>
              <w:t>Eenmalige rijksbijdrage financierings</w:t>
            </w:r>
            <w:r w:rsidR="00130E4B">
              <w:t>-</w:t>
            </w:r>
            <w:r>
              <w:t>systematiek</w:t>
            </w:r>
          </w:p>
        </w:tc>
        <w:tc>
          <w:tcPr>
            <w:tcW w:w="892" w:type="dxa"/>
            <w:noWrap/>
            <w:hideMark/>
          </w:tcPr>
          <w:p w14:paraId="50D1B209" w14:textId="77777777" w:rsidR="007125D3" w:rsidRPr="007125D3" w:rsidRDefault="007125D3" w:rsidP="003B3382">
            <w:pPr>
              <w:jc w:val="right"/>
            </w:pPr>
            <w:r w:rsidRPr="007125D3">
              <w:t>0</w:t>
            </w:r>
          </w:p>
        </w:tc>
        <w:tc>
          <w:tcPr>
            <w:tcW w:w="893" w:type="dxa"/>
            <w:noWrap/>
            <w:hideMark/>
          </w:tcPr>
          <w:p w14:paraId="17A7E98D" w14:textId="77777777" w:rsidR="007125D3" w:rsidRPr="007125D3" w:rsidRDefault="007125D3" w:rsidP="003B3382">
            <w:pPr>
              <w:jc w:val="right"/>
            </w:pPr>
            <w:r w:rsidRPr="007125D3">
              <w:t>0</w:t>
            </w:r>
          </w:p>
        </w:tc>
        <w:tc>
          <w:tcPr>
            <w:tcW w:w="893" w:type="dxa"/>
            <w:noWrap/>
            <w:hideMark/>
          </w:tcPr>
          <w:p w14:paraId="1FB77761" w14:textId="77777777" w:rsidR="007125D3" w:rsidRPr="007125D3" w:rsidRDefault="007125D3" w:rsidP="003B3382">
            <w:pPr>
              <w:jc w:val="right"/>
            </w:pPr>
            <w:r w:rsidRPr="007125D3">
              <w:t>0</w:t>
            </w:r>
          </w:p>
        </w:tc>
        <w:tc>
          <w:tcPr>
            <w:tcW w:w="893" w:type="dxa"/>
            <w:noWrap/>
            <w:hideMark/>
          </w:tcPr>
          <w:p w14:paraId="5C6B7DB5" w14:textId="77777777" w:rsidR="007125D3" w:rsidRPr="007125D3" w:rsidRDefault="007125D3" w:rsidP="003B3382">
            <w:pPr>
              <w:jc w:val="right"/>
            </w:pPr>
            <w:r w:rsidRPr="007125D3">
              <w:t>0</w:t>
            </w:r>
          </w:p>
        </w:tc>
        <w:tc>
          <w:tcPr>
            <w:tcW w:w="893" w:type="dxa"/>
            <w:noWrap/>
            <w:hideMark/>
          </w:tcPr>
          <w:p w14:paraId="22C26ECF" w14:textId="4D636CA7" w:rsidR="007125D3" w:rsidRPr="007125D3" w:rsidRDefault="007125D3" w:rsidP="003B3382">
            <w:pPr>
              <w:jc w:val="right"/>
            </w:pPr>
            <w:r w:rsidRPr="007125D3">
              <w:t>1.</w:t>
            </w:r>
            <w:r w:rsidR="001A0D35">
              <w:t>433</w:t>
            </w:r>
          </w:p>
        </w:tc>
      </w:tr>
      <w:tr w:rsidR="003B3382" w:rsidRPr="007125D3" w14:paraId="6F35D18E" w14:textId="77777777" w:rsidTr="6706F686">
        <w:trPr>
          <w:trHeight w:val="300"/>
        </w:trPr>
        <w:tc>
          <w:tcPr>
            <w:tcW w:w="538" w:type="dxa"/>
            <w:noWrap/>
            <w:hideMark/>
          </w:tcPr>
          <w:p w14:paraId="617B9A65" w14:textId="77777777" w:rsidR="007125D3" w:rsidRPr="007125D3" w:rsidRDefault="007125D3" w:rsidP="007125D3"/>
        </w:tc>
        <w:tc>
          <w:tcPr>
            <w:tcW w:w="4060" w:type="dxa"/>
            <w:noWrap/>
            <w:hideMark/>
          </w:tcPr>
          <w:p w14:paraId="5DDEF99E" w14:textId="77777777" w:rsidR="007125D3" w:rsidRPr="007125D3" w:rsidRDefault="6706F686" w:rsidP="005D456B">
            <w:pPr>
              <w:pStyle w:val="Lijstalinea"/>
              <w:numPr>
                <w:ilvl w:val="0"/>
                <w:numId w:val="4"/>
              </w:numPr>
              <w:jc w:val="left"/>
            </w:pPr>
            <w:r>
              <w:t>Stelpost jeugdzorg 2024 - 2026</w:t>
            </w:r>
          </w:p>
        </w:tc>
        <w:tc>
          <w:tcPr>
            <w:tcW w:w="892" w:type="dxa"/>
            <w:tcBorders>
              <w:bottom w:val="dotted" w:sz="12" w:space="0" w:color="auto"/>
            </w:tcBorders>
            <w:noWrap/>
            <w:hideMark/>
          </w:tcPr>
          <w:p w14:paraId="4E1B15F0" w14:textId="77777777" w:rsidR="007125D3" w:rsidRPr="007125D3" w:rsidRDefault="007125D3" w:rsidP="003B3382">
            <w:pPr>
              <w:jc w:val="right"/>
            </w:pPr>
            <w:r w:rsidRPr="007125D3">
              <w:t>0</w:t>
            </w:r>
          </w:p>
        </w:tc>
        <w:tc>
          <w:tcPr>
            <w:tcW w:w="893" w:type="dxa"/>
            <w:tcBorders>
              <w:bottom w:val="dotted" w:sz="12" w:space="0" w:color="auto"/>
            </w:tcBorders>
            <w:noWrap/>
            <w:hideMark/>
          </w:tcPr>
          <w:p w14:paraId="0025757A" w14:textId="77777777" w:rsidR="007125D3" w:rsidRPr="007125D3" w:rsidRDefault="007125D3" w:rsidP="003B3382">
            <w:pPr>
              <w:jc w:val="right"/>
            </w:pPr>
            <w:r w:rsidRPr="007125D3">
              <w:t>0</w:t>
            </w:r>
          </w:p>
        </w:tc>
        <w:tc>
          <w:tcPr>
            <w:tcW w:w="893" w:type="dxa"/>
            <w:tcBorders>
              <w:bottom w:val="dotted" w:sz="12" w:space="0" w:color="auto"/>
            </w:tcBorders>
            <w:noWrap/>
            <w:hideMark/>
          </w:tcPr>
          <w:p w14:paraId="38188244" w14:textId="77777777" w:rsidR="007125D3" w:rsidRPr="007125D3" w:rsidRDefault="007125D3" w:rsidP="003B3382">
            <w:pPr>
              <w:jc w:val="right"/>
            </w:pPr>
            <w:r w:rsidRPr="007125D3">
              <w:t>580</w:t>
            </w:r>
          </w:p>
        </w:tc>
        <w:tc>
          <w:tcPr>
            <w:tcW w:w="893" w:type="dxa"/>
            <w:tcBorders>
              <w:bottom w:val="dotted" w:sz="12" w:space="0" w:color="auto"/>
            </w:tcBorders>
            <w:noWrap/>
            <w:hideMark/>
          </w:tcPr>
          <w:p w14:paraId="1F4A4658" w14:textId="77777777" w:rsidR="007125D3" w:rsidRPr="007125D3" w:rsidRDefault="007125D3" w:rsidP="003B3382">
            <w:pPr>
              <w:jc w:val="right"/>
            </w:pPr>
            <w:r w:rsidRPr="007125D3">
              <w:t>510</w:t>
            </w:r>
          </w:p>
        </w:tc>
        <w:tc>
          <w:tcPr>
            <w:tcW w:w="893" w:type="dxa"/>
            <w:tcBorders>
              <w:bottom w:val="dotted" w:sz="12" w:space="0" w:color="auto"/>
            </w:tcBorders>
            <w:noWrap/>
            <w:hideMark/>
          </w:tcPr>
          <w:p w14:paraId="7F796572" w14:textId="77777777" w:rsidR="007125D3" w:rsidRPr="007125D3" w:rsidRDefault="007125D3" w:rsidP="003B3382">
            <w:pPr>
              <w:jc w:val="right"/>
            </w:pPr>
            <w:r w:rsidRPr="007125D3">
              <w:t>350</w:t>
            </w:r>
          </w:p>
        </w:tc>
      </w:tr>
      <w:tr w:rsidR="003B3382" w:rsidRPr="007125D3" w14:paraId="60E5BC42" w14:textId="77777777" w:rsidTr="00653BAF">
        <w:trPr>
          <w:trHeight w:val="300"/>
        </w:trPr>
        <w:tc>
          <w:tcPr>
            <w:tcW w:w="538" w:type="dxa"/>
            <w:noWrap/>
            <w:hideMark/>
          </w:tcPr>
          <w:p w14:paraId="7EB51A43" w14:textId="77777777" w:rsidR="007125D3" w:rsidRPr="007125D3" w:rsidRDefault="007125D3" w:rsidP="007125D3">
            <w:r w:rsidRPr="007125D3">
              <w:t>C.</w:t>
            </w:r>
          </w:p>
        </w:tc>
        <w:tc>
          <w:tcPr>
            <w:tcW w:w="4060" w:type="dxa"/>
            <w:noWrap/>
            <w:hideMark/>
          </w:tcPr>
          <w:p w14:paraId="04BD68EA" w14:textId="77777777" w:rsidR="007125D3" w:rsidRPr="007125D3" w:rsidRDefault="007125D3" w:rsidP="005D456B">
            <w:pPr>
              <w:jc w:val="left"/>
            </w:pPr>
            <w:r w:rsidRPr="007125D3">
              <w:t>Stand septembercirculaire 2022</w:t>
            </w:r>
          </w:p>
        </w:tc>
        <w:tc>
          <w:tcPr>
            <w:tcW w:w="892" w:type="dxa"/>
            <w:tcBorders>
              <w:top w:val="dotted" w:sz="12" w:space="0" w:color="auto"/>
              <w:bottom w:val="dotted" w:sz="12" w:space="0" w:color="auto"/>
            </w:tcBorders>
            <w:noWrap/>
            <w:hideMark/>
          </w:tcPr>
          <w:p w14:paraId="716E9420" w14:textId="77777777" w:rsidR="007125D3" w:rsidRPr="007125D3" w:rsidRDefault="007125D3" w:rsidP="003B3382">
            <w:pPr>
              <w:jc w:val="right"/>
              <w:rPr>
                <w:b/>
                <w:bCs/>
              </w:rPr>
            </w:pPr>
            <w:r w:rsidRPr="007125D3">
              <w:rPr>
                <w:b/>
                <w:bCs/>
              </w:rPr>
              <w:t>66.580</w:t>
            </w:r>
          </w:p>
        </w:tc>
        <w:tc>
          <w:tcPr>
            <w:tcW w:w="893" w:type="dxa"/>
            <w:tcBorders>
              <w:top w:val="dotted" w:sz="12" w:space="0" w:color="auto"/>
              <w:bottom w:val="dotted" w:sz="12" w:space="0" w:color="auto"/>
            </w:tcBorders>
            <w:noWrap/>
          </w:tcPr>
          <w:p w14:paraId="3A357587" w14:textId="32053214" w:rsidR="007125D3" w:rsidRPr="007125D3" w:rsidRDefault="0003570F" w:rsidP="003B3382">
            <w:pPr>
              <w:jc w:val="right"/>
              <w:rPr>
                <w:b/>
                <w:bCs/>
              </w:rPr>
            </w:pPr>
            <w:r>
              <w:rPr>
                <w:b/>
                <w:bCs/>
              </w:rPr>
              <w:t>68.130</w:t>
            </w:r>
          </w:p>
        </w:tc>
        <w:tc>
          <w:tcPr>
            <w:tcW w:w="893" w:type="dxa"/>
            <w:tcBorders>
              <w:top w:val="dotted" w:sz="12" w:space="0" w:color="auto"/>
              <w:bottom w:val="dotted" w:sz="12" w:space="0" w:color="auto"/>
            </w:tcBorders>
            <w:noWrap/>
          </w:tcPr>
          <w:p w14:paraId="2FEA9715" w14:textId="0D00B038" w:rsidR="007125D3" w:rsidRPr="007125D3" w:rsidRDefault="0065344E" w:rsidP="003B3382">
            <w:pPr>
              <w:jc w:val="right"/>
              <w:rPr>
                <w:b/>
                <w:bCs/>
              </w:rPr>
            </w:pPr>
            <w:r>
              <w:rPr>
                <w:b/>
                <w:bCs/>
              </w:rPr>
              <w:t>70.840</w:t>
            </w:r>
          </w:p>
        </w:tc>
        <w:tc>
          <w:tcPr>
            <w:tcW w:w="893" w:type="dxa"/>
            <w:tcBorders>
              <w:top w:val="dotted" w:sz="12" w:space="0" w:color="auto"/>
              <w:bottom w:val="dotted" w:sz="12" w:space="0" w:color="auto"/>
            </w:tcBorders>
            <w:noWrap/>
          </w:tcPr>
          <w:p w14:paraId="55B2CEB4" w14:textId="35C00613" w:rsidR="007125D3" w:rsidRPr="007125D3" w:rsidRDefault="00592C98" w:rsidP="003B3382">
            <w:pPr>
              <w:jc w:val="right"/>
              <w:rPr>
                <w:b/>
                <w:bCs/>
              </w:rPr>
            </w:pPr>
            <w:r>
              <w:rPr>
                <w:b/>
                <w:bCs/>
              </w:rPr>
              <w:t>73.060</w:t>
            </w:r>
          </w:p>
        </w:tc>
        <w:tc>
          <w:tcPr>
            <w:tcW w:w="893" w:type="dxa"/>
            <w:tcBorders>
              <w:top w:val="dotted" w:sz="12" w:space="0" w:color="auto"/>
              <w:bottom w:val="dotted" w:sz="12" w:space="0" w:color="auto"/>
            </w:tcBorders>
            <w:noWrap/>
          </w:tcPr>
          <w:p w14:paraId="47B0B392" w14:textId="05B8A58D" w:rsidR="007125D3" w:rsidRPr="007125D3" w:rsidRDefault="008B5900" w:rsidP="003B3382">
            <w:pPr>
              <w:jc w:val="right"/>
              <w:rPr>
                <w:b/>
                <w:bCs/>
              </w:rPr>
            </w:pPr>
            <w:r>
              <w:rPr>
                <w:b/>
                <w:bCs/>
              </w:rPr>
              <w:t>68.750</w:t>
            </w:r>
          </w:p>
        </w:tc>
      </w:tr>
    </w:tbl>
    <w:p w14:paraId="2CB53A9E" w14:textId="77777777" w:rsidR="007125D3" w:rsidRDefault="007125D3" w:rsidP="005312EF"/>
    <w:p w14:paraId="5D78DF49" w14:textId="1C1FA1A9" w:rsidR="003B3382" w:rsidRDefault="00140D32" w:rsidP="000474E2">
      <w:pPr>
        <w:pStyle w:val="Lijstalinea"/>
        <w:numPr>
          <w:ilvl w:val="0"/>
          <w:numId w:val="6"/>
        </w:numPr>
      </w:pPr>
      <w:r>
        <w:t>Uitkomsten meicirculaire 2022</w:t>
      </w:r>
    </w:p>
    <w:p w14:paraId="1C0FED47" w14:textId="71136CDB" w:rsidR="000474E2" w:rsidRDefault="00FC5E9E" w:rsidP="000474E2">
      <w:pPr>
        <w:ind w:left="360"/>
      </w:pPr>
      <w:r>
        <w:t>Dit zijn de bedragen die zijn op</w:t>
      </w:r>
      <w:r w:rsidR="006761F7">
        <w:t>g</w:t>
      </w:r>
      <w:r>
        <w:t xml:space="preserve">enomen als opbrengst algemene uitkering in de tweede </w:t>
      </w:r>
      <w:r w:rsidR="00034D12">
        <w:t>bestuursrapportages</w:t>
      </w:r>
      <w:r>
        <w:t xml:space="preserve"> 2022 en de begroting 2023 – 2026. </w:t>
      </w:r>
    </w:p>
    <w:p w14:paraId="145E8A42" w14:textId="77777777" w:rsidR="00DB21A6" w:rsidRDefault="00DB21A6" w:rsidP="000474E2">
      <w:pPr>
        <w:ind w:left="360"/>
      </w:pPr>
    </w:p>
    <w:p w14:paraId="5E5C452B" w14:textId="4F16653E" w:rsidR="00EB544A" w:rsidRDefault="00942D16" w:rsidP="000474E2">
      <w:pPr>
        <w:pStyle w:val="Lijstalinea"/>
        <w:numPr>
          <w:ilvl w:val="0"/>
          <w:numId w:val="6"/>
        </w:numPr>
      </w:pPr>
      <w:r>
        <w:t>Ontwikkelingen</w:t>
      </w:r>
    </w:p>
    <w:p w14:paraId="6D30E4AE" w14:textId="77777777" w:rsidR="000C2B61" w:rsidRDefault="00477736" w:rsidP="00336A9E">
      <w:pPr>
        <w:pStyle w:val="Lijstalinea"/>
        <w:numPr>
          <w:ilvl w:val="1"/>
          <w:numId w:val="6"/>
        </w:numPr>
        <w:ind w:firstLine="66"/>
      </w:pPr>
      <w:r>
        <w:t>Energi</w:t>
      </w:r>
      <w:r w:rsidR="000C2B61">
        <w:t>e</w:t>
      </w:r>
    </w:p>
    <w:p w14:paraId="3FCF7689" w14:textId="4C80A3DC" w:rsidR="001049A9" w:rsidRDefault="000C2B61" w:rsidP="00336A9E">
      <w:pPr>
        <w:pStyle w:val="Lijstalinea"/>
        <w:ind w:left="708"/>
      </w:pPr>
      <w:r w:rsidRPr="000C2B61">
        <w:t xml:space="preserve">Op 5 juli 2022 heeft het kabinet aangekondigd het richtbedrag van de eenmalige </w:t>
      </w:r>
      <w:proofErr w:type="spellStart"/>
      <w:r w:rsidRPr="000C2B61">
        <w:t>energie</w:t>
      </w:r>
      <w:r w:rsidR="009F5A7E">
        <w:t>-</w:t>
      </w:r>
      <w:r w:rsidRPr="000C2B61">
        <w:t>toeslag</w:t>
      </w:r>
      <w:proofErr w:type="spellEnd"/>
      <w:r w:rsidRPr="000C2B61">
        <w:t xml:space="preserve"> te verhogen van €</w:t>
      </w:r>
      <w:r w:rsidR="00CC7ED5">
        <w:t> </w:t>
      </w:r>
      <w:r w:rsidRPr="000C2B61">
        <w:t>800 naar €</w:t>
      </w:r>
      <w:r w:rsidR="00CC7ED5">
        <w:t> </w:t>
      </w:r>
      <w:r w:rsidRPr="000C2B61">
        <w:t xml:space="preserve">1.300. Het Kabinet heeft hiervoor </w:t>
      </w:r>
      <w:r w:rsidR="00390C01">
        <w:t xml:space="preserve">op landelijk niveau </w:t>
      </w:r>
      <w:r w:rsidRPr="000C2B61">
        <w:t>een extra budget van € 550 miljoen beschikbaar gesteld. Hiervan is € 500 miljoen bestemd voor de ophoging van de energietoeslag en €</w:t>
      </w:r>
      <w:r w:rsidR="00104DD0">
        <w:t> </w:t>
      </w:r>
      <w:r w:rsidRPr="000C2B61">
        <w:t xml:space="preserve">50 miljoen voor de extra </w:t>
      </w:r>
      <w:r w:rsidR="00034D12" w:rsidRPr="000C2B61">
        <w:t>uitvoerings</w:t>
      </w:r>
      <w:r w:rsidR="00034D12">
        <w:t>k</w:t>
      </w:r>
      <w:r w:rsidR="00034D12" w:rsidRPr="000C2B61">
        <w:t>osten</w:t>
      </w:r>
      <w:r w:rsidRPr="000C2B61">
        <w:t xml:space="preserve"> van gemeenten. De verdeling van deze aanvulling via de algemene uitkering is verwerkt in de septembercirculaire. </w:t>
      </w:r>
      <w:r w:rsidR="001049A9">
        <w:t xml:space="preserve">Dit zorgt voor een opbrengst van </w:t>
      </w:r>
      <w:r w:rsidR="00803F3E">
        <w:t>€</w:t>
      </w:r>
      <w:r w:rsidR="00104DD0">
        <w:t> </w:t>
      </w:r>
      <w:r w:rsidR="00803F3E">
        <w:t>697.000 voor de gemeente De Ronde Venen.</w:t>
      </w:r>
      <w:r w:rsidR="002F7013">
        <w:t xml:space="preserve"> Tegenover deze opbrengst staan kosten </w:t>
      </w:r>
      <w:r w:rsidR="00007B5B">
        <w:t>van dezelfde omvang</w:t>
      </w:r>
      <w:r w:rsidR="000B4F85">
        <w:t>.</w:t>
      </w:r>
    </w:p>
    <w:p w14:paraId="0E36B231" w14:textId="77777777" w:rsidR="00477736" w:rsidRDefault="00A82AC2" w:rsidP="00ED45B3">
      <w:pPr>
        <w:pStyle w:val="Lijstalinea"/>
        <w:numPr>
          <w:ilvl w:val="1"/>
          <w:numId w:val="6"/>
        </w:numPr>
        <w:ind w:firstLine="66"/>
      </w:pPr>
      <w:r>
        <w:t>Plafond BTW-compensatiefonds</w:t>
      </w:r>
    </w:p>
    <w:p w14:paraId="78C3D922" w14:textId="620A7D64" w:rsidR="00336A9E" w:rsidRDefault="00ED45B3" w:rsidP="00ED45B3">
      <w:pPr>
        <w:pStyle w:val="Lijstalinea"/>
        <w:ind w:left="708"/>
      </w:pPr>
      <w:r w:rsidRPr="00ED45B3">
        <w:t xml:space="preserve">Gemeenten krijgen hun betaalde btw in de meeste gevallen terug via het </w:t>
      </w:r>
      <w:proofErr w:type="spellStart"/>
      <w:r w:rsidRPr="00ED45B3">
        <w:t>BTW-compensatie</w:t>
      </w:r>
      <w:r w:rsidR="00EA475F">
        <w:t>-</w:t>
      </w:r>
      <w:r w:rsidRPr="00ED45B3">
        <w:t>fonds</w:t>
      </w:r>
      <w:proofErr w:type="spellEnd"/>
      <w:r w:rsidRPr="00ED45B3">
        <w:t>. Dit fonds is echter gemaximeerd. Declareren gemeenten meer btw dan beschikbaar, dan wordt dit verrekend met het gemeentefonds. Als gemeenten minder declareren, wordt dit toegevoegd aan het gemeentefonds. Voor 2022 is de verwachting dat de gezamenlijke gemeenten €</w:t>
      </w:r>
      <w:r w:rsidR="007521AA">
        <w:t> </w:t>
      </w:r>
      <w:r w:rsidRPr="00ED45B3">
        <w:t xml:space="preserve">321 miljoen minder declareren dan dat er in het fonds beschikbaar is. Dit bedrag </w:t>
      </w:r>
      <w:r w:rsidR="00AC7B90">
        <w:t xml:space="preserve">is </w:t>
      </w:r>
      <w:r w:rsidRPr="00ED45B3">
        <w:t>toegevoegd aan het gemeentefonds</w:t>
      </w:r>
      <w:r w:rsidR="00AC7B90">
        <w:t xml:space="preserve"> en daardoor ontstaat een extra opbrengst van </w:t>
      </w:r>
      <w:r w:rsidR="004778F6">
        <w:t>€</w:t>
      </w:r>
      <w:r w:rsidR="002E5ED2">
        <w:t> 546.000.</w:t>
      </w:r>
      <w:r w:rsidR="000B4F85">
        <w:t xml:space="preserve"> </w:t>
      </w:r>
      <w:r w:rsidR="0096627E">
        <w:t xml:space="preserve">Dit bedrag komt ten gunste van </w:t>
      </w:r>
      <w:r w:rsidR="002F0C20">
        <w:t xml:space="preserve">het begrotingsresultaat </w:t>
      </w:r>
      <w:r w:rsidR="004D1BDA">
        <w:t>2022.</w:t>
      </w:r>
    </w:p>
    <w:p w14:paraId="0A8DE3DE" w14:textId="70C84BFE" w:rsidR="007125D3" w:rsidRDefault="00A82AC2" w:rsidP="004D1BDA">
      <w:pPr>
        <w:pStyle w:val="Lijstalinea"/>
        <w:numPr>
          <w:ilvl w:val="1"/>
          <w:numId w:val="6"/>
        </w:numPr>
        <w:ind w:firstLine="66"/>
      </w:pPr>
      <w:r>
        <w:t>Invoeringskosten Omgevingswet</w:t>
      </w:r>
    </w:p>
    <w:p w14:paraId="36B6B4BC" w14:textId="317A2FD8" w:rsidR="00477736" w:rsidRDefault="6706F686" w:rsidP="6706F686">
      <w:pPr>
        <w:pStyle w:val="Lijstalinea"/>
        <w:ind w:left="708"/>
      </w:pPr>
      <w:r>
        <w:t>Gemeenten krijgen een compensatie voor de gemaakte invoeringskosten van de Omgevings</w:t>
      </w:r>
      <w:r w:rsidR="00A00145">
        <w:t>-</w:t>
      </w:r>
      <w:r>
        <w:t xml:space="preserve">wet. Het gaat om een bijdrage aan de transitiekosten die gemeenten hebben gemaakt in </w:t>
      </w:r>
      <w:r>
        <w:lastRenderedPageBreak/>
        <w:t>aanloop naar de invoering van de nieuwe wet. Er volgt nog een stelselevaluatie, waarbij de daadwerkelijk gemaakte kosten opnieuw in kaart worden gebracht. Voor de gemeente De Ronde Venen is compensatie € 409.000. Dit bedrag komt ten gunste van het begrotings</w:t>
      </w:r>
      <w:r w:rsidR="00A00145">
        <w:t>-</w:t>
      </w:r>
      <w:r>
        <w:t>resultaat 2022.</w:t>
      </w:r>
    </w:p>
    <w:p w14:paraId="7566B765" w14:textId="0248EC00" w:rsidR="6706F686" w:rsidRDefault="6706F686" w:rsidP="6706F686">
      <w:pPr>
        <w:pStyle w:val="Lijstalinea"/>
        <w:numPr>
          <w:ilvl w:val="1"/>
          <w:numId w:val="6"/>
        </w:numPr>
        <w:ind w:firstLine="66"/>
        <w:rPr>
          <w:rFonts w:eastAsiaTheme="minorEastAsia"/>
        </w:rPr>
      </w:pPr>
      <w:r>
        <w:t>Accres/algemene ontwikkelingen</w:t>
      </w:r>
    </w:p>
    <w:p w14:paraId="4F64D472" w14:textId="4108530D" w:rsidR="6706F686" w:rsidRDefault="6706F686" w:rsidP="6706F686">
      <w:pPr>
        <w:pStyle w:val="Lijstalinea"/>
        <w:ind w:left="708"/>
      </w:pPr>
      <w:r>
        <w:t xml:space="preserve">Diverse ontwikkelingen in aantallen zoals medicijngebruik, minderheden en prijzen zorgen ervoor dat de omvang van de algemene uitkering toeneemt. </w:t>
      </w:r>
    </w:p>
    <w:p w14:paraId="4AD106C8" w14:textId="577C9151" w:rsidR="6706F686" w:rsidRDefault="6706F686" w:rsidP="6706F686">
      <w:pPr>
        <w:pStyle w:val="Lijstalinea"/>
        <w:ind w:left="708"/>
      </w:pPr>
      <w:r>
        <w:t xml:space="preserve">Het Rijk verwacht voor 2023 een hogere stijging van de lonen en prijzen dan bij de meicirculaire 2022. Hierdoor is in 2023 sprake van een fors hogere rijksbijdrage. De mogelijkheid bestaat dat we in de bestuursrapportages 2023 aanpassingen voorstellen op onze budgetten om </w:t>
      </w:r>
      <w:proofErr w:type="spellStart"/>
      <w:r>
        <w:t>prijs</w:t>
      </w:r>
      <w:r w:rsidR="00DE5205">
        <w:t>-</w:t>
      </w:r>
      <w:r>
        <w:t>effecten</w:t>
      </w:r>
      <w:proofErr w:type="spellEnd"/>
      <w:r>
        <w:t xml:space="preserve"> op te vangen.</w:t>
      </w:r>
    </w:p>
    <w:p w14:paraId="3193F0A6" w14:textId="77777777" w:rsidR="00477736" w:rsidRDefault="6706F686" w:rsidP="00310148">
      <w:pPr>
        <w:pStyle w:val="Lijstalinea"/>
        <w:numPr>
          <w:ilvl w:val="1"/>
          <w:numId w:val="6"/>
        </w:numPr>
        <w:ind w:firstLine="66"/>
      </w:pPr>
      <w:r>
        <w:t>Wet kwaliteitsborging bouw (</w:t>
      </w:r>
      <w:proofErr w:type="spellStart"/>
      <w:r>
        <w:t>Wkb</w:t>
      </w:r>
      <w:proofErr w:type="spellEnd"/>
      <w:r>
        <w:t>)</w:t>
      </w:r>
    </w:p>
    <w:p w14:paraId="6E8A0F79" w14:textId="634C67D2" w:rsidR="6706F686" w:rsidRDefault="6706F686" w:rsidP="6706F686">
      <w:pPr>
        <w:pStyle w:val="Lijstalinea"/>
        <w:ind w:left="708"/>
      </w:pPr>
      <w:r>
        <w:t>De Wet kwaliteitsborging bouw (</w:t>
      </w:r>
      <w:proofErr w:type="spellStart"/>
      <w:r>
        <w:t>Wkb</w:t>
      </w:r>
      <w:proofErr w:type="spellEnd"/>
      <w:r>
        <w:t xml:space="preserve">) treedt naar verwachting vanaf 1 januari 2023 gefaseerd in werking. Deze wet heeft als doel de bouwkwaliteit en het bouwtoezicht te verbeteren door inschakeling van private </w:t>
      </w:r>
      <w:proofErr w:type="spellStart"/>
      <w:r>
        <w:t>kwaliteitsborgers</w:t>
      </w:r>
      <w:proofErr w:type="spellEnd"/>
      <w:r>
        <w:t xml:space="preserve">. Onder deze wet zullen </w:t>
      </w:r>
      <w:proofErr w:type="spellStart"/>
      <w:r>
        <w:t>kwaliteitsborgers</w:t>
      </w:r>
      <w:proofErr w:type="spellEnd"/>
      <w:r>
        <w:t xml:space="preserve"> zorgdragen voor het voldoen aan de bouwtechnische regels. Deze taken vervallen hiermee bij gemeenten die overigens wel het bevoegd gezag blijven houden. Tegelijkertijd wijzigen bepaalde wettelijke taken en krijgen gemeenten er extra wettelijke taken bij, zoals registratie en beoordeling van de </w:t>
      </w:r>
      <w:proofErr w:type="spellStart"/>
      <w:r>
        <w:t>Wkb</w:t>
      </w:r>
      <w:proofErr w:type="spellEnd"/>
      <w:r>
        <w:t>-meldingen. Hieronder vallen onder andere bouwmeldingen, gereed meldingen en informatieverstrekking van de start en einde van bouwwerkzaamheden. Zoals al aangegeven in onze raadsinformatiebrief van juli 2022 ontvangen we hiervoor een tijdelijke bijdrage. Uit de septembercirculaire 2022 blijkt dat we €</w:t>
      </w:r>
      <w:r w:rsidR="00B76189">
        <w:t> </w:t>
      </w:r>
      <w:r>
        <w:t>175.000 ontvangen verspreid over de jaren 2022 – 2026. Mocht in periode 2023 – 2026 extra kosten gemaakt worden voor de invoering van de WKB dan rapporteren we hierover via de bestuursrapportages.</w:t>
      </w:r>
    </w:p>
    <w:p w14:paraId="3D718617" w14:textId="5F81208E" w:rsidR="6706F686" w:rsidRDefault="6706F686" w:rsidP="6706F686">
      <w:pPr>
        <w:pStyle w:val="Lijstalinea"/>
        <w:numPr>
          <w:ilvl w:val="1"/>
          <w:numId w:val="6"/>
        </w:numPr>
        <w:ind w:firstLine="66"/>
      </w:pPr>
      <w:r>
        <w:t>Asiel (inburgering)</w:t>
      </w:r>
    </w:p>
    <w:p w14:paraId="235D6237" w14:textId="4774F587" w:rsidR="6706F686" w:rsidRDefault="1ACE1CCC" w:rsidP="6706F686">
      <w:pPr>
        <w:pStyle w:val="Lijstalinea"/>
        <w:ind w:left="708"/>
      </w:pPr>
      <w:r w:rsidRPr="1ACE1CCC">
        <w:t xml:space="preserve">In het bestuurlijk akkoord met betrekking tot de opvang van asielzoekers op 26 augustus jl. is afgesproken dat het kabinet voldoende financiële middelen beschikbaar stelt voor integratie. Als gevolg van een hogere instroom van inburgeraars is afgesproken het budget voor de inburgering voor de jaren 2022, 2023 en 2024 op te hogen met respectievelijk € 20, </w:t>
      </w:r>
      <w:r w:rsidR="002571B7">
        <w:t>€ </w:t>
      </w:r>
      <w:r w:rsidRPr="1ACE1CCC">
        <w:t>40 en</w:t>
      </w:r>
      <w:r w:rsidR="00555E7A">
        <w:t xml:space="preserve"> </w:t>
      </w:r>
      <w:r w:rsidR="002571B7">
        <w:t>€</w:t>
      </w:r>
      <w:r w:rsidR="00555E7A">
        <w:t> </w:t>
      </w:r>
      <w:r w:rsidRPr="1ACE1CCC">
        <w:t>30 miljoen. Hiermee worden gemeenten in staat gesteld alle inburgeraars passende ondersteuning te bieden. Dit zorgt ervoor dat de gemeente De Ronde Venen respectievelijk €</w:t>
      </w:r>
      <w:r w:rsidR="00B76189">
        <w:t> </w:t>
      </w:r>
      <w:r w:rsidRPr="1ACE1CCC">
        <w:t>50.000, €</w:t>
      </w:r>
      <w:r w:rsidR="00B76189">
        <w:t> </w:t>
      </w:r>
      <w:r w:rsidRPr="1ACE1CCC">
        <w:t>110.000 en €</w:t>
      </w:r>
      <w:r w:rsidR="00B76189">
        <w:t> </w:t>
      </w:r>
      <w:r w:rsidRPr="1ACE1CCC">
        <w:t xml:space="preserve">86.000 ontvangt. Tegenover deze extra opbrengst staan geen directe kosten. </w:t>
      </w:r>
      <w:r w:rsidR="00EE3E03">
        <w:t>De verwachting is dat we in de komende jaren extra kosten maken voor inburgering. Indien hier sprake van is, dan nemen we dat op in de bestuursrapportages</w:t>
      </w:r>
      <w:r w:rsidR="00C902BC">
        <w:t>.</w:t>
      </w:r>
    </w:p>
    <w:p w14:paraId="477256D6" w14:textId="77777777" w:rsidR="00477736" w:rsidRDefault="6706F686" w:rsidP="6706F686">
      <w:pPr>
        <w:pStyle w:val="Lijstalinea"/>
        <w:numPr>
          <w:ilvl w:val="1"/>
          <w:numId w:val="6"/>
        </w:numPr>
        <w:ind w:firstLine="66"/>
        <w:rPr>
          <w:rFonts w:eastAsiaTheme="minorEastAsia"/>
        </w:rPr>
      </w:pPr>
      <w:r>
        <w:t>Leerlingenvervoer Oekraïne</w:t>
      </w:r>
    </w:p>
    <w:p w14:paraId="1DA131F2" w14:textId="0C5D8E08" w:rsidR="6706F686" w:rsidRDefault="6706F686" w:rsidP="6706F686">
      <w:pPr>
        <w:pStyle w:val="Lijstalinea"/>
        <w:ind w:left="708"/>
      </w:pPr>
      <w:r>
        <w:t>Het Rijk heeft een eenmalige tegemoetkoming verstrekt voor leerlingenvervoer van Oekraïense leerlingen. Deze tegemoetkoming van €</w:t>
      </w:r>
      <w:r w:rsidR="00B76189">
        <w:t> </w:t>
      </w:r>
      <w:r>
        <w:t>32.000 betreft de periode vanaf 1</w:t>
      </w:r>
      <w:r w:rsidR="006D0B1E">
        <w:t> </w:t>
      </w:r>
      <w:r>
        <w:t>maart</w:t>
      </w:r>
      <w:r w:rsidR="006D0B1E">
        <w:t> </w:t>
      </w:r>
      <w:r>
        <w:t>2022 tot aan de zomervakantie op 16</w:t>
      </w:r>
      <w:r w:rsidR="006D0B1E">
        <w:t> </w:t>
      </w:r>
      <w:r>
        <w:t>juli</w:t>
      </w:r>
      <w:r w:rsidR="006D0B1E">
        <w:t> </w:t>
      </w:r>
      <w:r>
        <w:t>2022. De kosten hiervoor zijn opgevangen binnen de bestaande budgetten. Hierdoor komt de bijdrage ten gunste van het begrotingsresultaat.</w:t>
      </w:r>
    </w:p>
    <w:p w14:paraId="087A2DEE" w14:textId="77777777" w:rsidR="00477736" w:rsidRPr="00A67F33" w:rsidRDefault="0C23ECF7" w:rsidP="00A67F33">
      <w:pPr>
        <w:pStyle w:val="Lijstalinea"/>
        <w:numPr>
          <w:ilvl w:val="1"/>
          <w:numId w:val="6"/>
        </w:numPr>
        <w:ind w:firstLine="66"/>
      </w:pPr>
      <w:r>
        <w:t>Eenmalige rijksbijdrage financieringssystematiek</w:t>
      </w:r>
    </w:p>
    <w:p w14:paraId="557A30B0" w14:textId="625606FE" w:rsidR="00477736" w:rsidRDefault="0C23ECF7" w:rsidP="00A67F33">
      <w:pPr>
        <w:pStyle w:val="Lijstalinea"/>
        <w:ind w:left="708"/>
      </w:pPr>
      <w:r w:rsidRPr="0C23ECF7">
        <w:t>Het Rijk werkt met gemeenten en provincies aan een nieuwe financieringssystematiek vanaf 2026. In aanloop daarnaartoe stelt het kabinet voor gemeenten in 2026 eenmalig €</w:t>
      </w:r>
      <w:r w:rsidR="00B76189">
        <w:t> </w:t>
      </w:r>
      <w:r w:rsidRPr="0C23ECF7">
        <w:t>1 miljard extra beschikbaar te stellen. Voor de gemeente De Ronde Venen betekent dit een eenmalige meevaller van €</w:t>
      </w:r>
      <w:r w:rsidR="00B76189">
        <w:t> </w:t>
      </w:r>
      <w:r w:rsidRPr="0C23ECF7">
        <w:t>1.</w:t>
      </w:r>
      <w:r w:rsidR="001A0D35">
        <w:t>433</w:t>
      </w:r>
      <w:r w:rsidRPr="0C23ECF7">
        <w:t>.000.</w:t>
      </w:r>
      <w:r w:rsidR="00F84CB2">
        <w:t xml:space="preserve"> </w:t>
      </w:r>
    </w:p>
    <w:p w14:paraId="169346C1" w14:textId="0CCD58AE" w:rsidR="00F84CB2" w:rsidRDefault="00F84CB2" w:rsidP="00A67F33">
      <w:pPr>
        <w:pStyle w:val="Lijstalinea"/>
        <w:ind w:left="708"/>
      </w:pPr>
      <w:r>
        <w:t>De verwachting is dat in de loop van 2023</w:t>
      </w:r>
      <w:r w:rsidR="00B37E44">
        <w:t>/2024</w:t>
      </w:r>
      <w:r>
        <w:t xml:space="preserve"> meer duidelijkheid </w:t>
      </w:r>
      <w:r w:rsidR="00B37E44">
        <w:t>komt over de financierings</w:t>
      </w:r>
      <w:r w:rsidR="00657455">
        <w:t>-</w:t>
      </w:r>
      <w:r w:rsidR="00B37E44">
        <w:t>systematiek vanaf 2027.</w:t>
      </w:r>
    </w:p>
    <w:p w14:paraId="5240C34D" w14:textId="05488F16" w:rsidR="00477736" w:rsidRDefault="0C23ECF7" w:rsidP="00A67F33">
      <w:pPr>
        <w:pStyle w:val="Lijstalinea"/>
        <w:numPr>
          <w:ilvl w:val="1"/>
          <w:numId w:val="6"/>
        </w:numPr>
        <w:ind w:firstLine="66"/>
      </w:pPr>
      <w:r>
        <w:lastRenderedPageBreak/>
        <w:t>Stelpost jeugdzorg 2024 – 2026</w:t>
      </w:r>
    </w:p>
    <w:p w14:paraId="22A0D19C" w14:textId="57CEA461" w:rsidR="0C23ECF7" w:rsidRDefault="0C23ECF7" w:rsidP="000B44C6">
      <w:pPr>
        <w:pStyle w:val="Lijstalinea"/>
        <w:ind w:left="708"/>
      </w:pPr>
      <w:r w:rsidRPr="0C23ECF7">
        <w:t xml:space="preserve">In augustus 2022 is tussen het Rijk, het Interprovinciaal Overleg (IPO) en de </w:t>
      </w:r>
      <w:r w:rsidRPr="000B44C6">
        <w:t xml:space="preserve">Vereniging van Nederlandse Gemeenten (VNG) </w:t>
      </w:r>
      <w:r w:rsidRPr="0C23ECF7">
        <w:t xml:space="preserve">afgesproken dat gemeenten in hun meerjarenraming voor de jaarschijven 2024 t/m 2026 rekening mogen houden met de volledige bijdragen uit de Hervormingsagenda Jeugd. Vorig jaar was dat nog 75%.  </w:t>
      </w:r>
    </w:p>
    <w:p w14:paraId="46243DD8" w14:textId="3986DB02" w:rsidR="0C23ECF7" w:rsidRDefault="0C23ECF7" w:rsidP="0C23ECF7">
      <w:pPr>
        <w:ind w:left="708"/>
      </w:pPr>
      <w:r w:rsidRPr="0C23ECF7">
        <w:t>De afspraken zijn als volgt:</w:t>
      </w:r>
    </w:p>
    <w:p w14:paraId="4CBC8DE6" w14:textId="545D5008" w:rsidR="0C23ECF7" w:rsidRDefault="0C23ECF7" w:rsidP="0C23ECF7">
      <w:pPr>
        <w:pStyle w:val="Lijstalinea"/>
        <w:numPr>
          <w:ilvl w:val="0"/>
          <w:numId w:val="2"/>
        </w:numPr>
        <w:rPr>
          <w:rFonts w:eastAsiaTheme="minorEastAsia"/>
        </w:rPr>
      </w:pPr>
      <w:r w:rsidRPr="0C23ECF7">
        <w:t>Gemeenten mogen in de jaarschijven 2024 tot en met 2026 de middelen die op de aanvullende post zijn gereserveerd meenemen in hun meerjarenraming (deze middelen zijn nog niet verwerkt in het Gemeentefonds). Concreet gaat het om respectievelijk € 1.265 miljoen, € 758 miljoen en € 367 miljoen.</w:t>
      </w:r>
    </w:p>
    <w:p w14:paraId="120ED49A" w14:textId="4F7720E9" w:rsidR="0C23ECF7" w:rsidRDefault="0C23ECF7" w:rsidP="0C23ECF7">
      <w:pPr>
        <w:pStyle w:val="Lijstalinea"/>
        <w:numPr>
          <w:ilvl w:val="0"/>
          <w:numId w:val="2"/>
        </w:numPr>
      </w:pPr>
      <w:r w:rsidRPr="0C23ECF7">
        <w:t>Daarnaast mogen gemeenten in hun begroting rekening houden met een besparing van €</w:t>
      </w:r>
      <w:r w:rsidR="001135F2">
        <w:t> </w:t>
      </w:r>
      <w:r w:rsidRPr="0C23ECF7">
        <w:t>100 miljoen in 2024, € 500 miljoen in 2025, € 500 miljoen in 2026 en vanaf 2027 € 511 miljoen structureel als gevolg van maatregelen die het Rijk zal uitwerken.</w:t>
      </w:r>
    </w:p>
    <w:p w14:paraId="7AAF3336" w14:textId="0D162088" w:rsidR="0C23ECF7" w:rsidRDefault="1ACE1CCC" w:rsidP="00A67F33">
      <w:pPr>
        <w:ind w:left="708"/>
      </w:pPr>
      <w:r w:rsidRPr="1ACE1CCC">
        <w:t>Dit heeft het volgende effect voor de jaren 2024 – 2026.</w:t>
      </w:r>
    </w:p>
    <w:tbl>
      <w:tblPr>
        <w:tblStyle w:val="Tabelraster"/>
        <w:tblW w:w="8361"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827"/>
        <w:gridCol w:w="1511"/>
        <w:gridCol w:w="1511"/>
        <w:gridCol w:w="1512"/>
      </w:tblGrid>
      <w:tr w:rsidR="1ACE1CCC" w14:paraId="798F289D" w14:textId="77777777" w:rsidTr="000B44C6">
        <w:tc>
          <w:tcPr>
            <w:tcW w:w="8361" w:type="dxa"/>
            <w:gridSpan w:val="4"/>
            <w:tcBorders>
              <w:bottom w:val="single" w:sz="12" w:space="0" w:color="44546A" w:themeColor="text2"/>
            </w:tcBorders>
          </w:tcPr>
          <w:p w14:paraId="638DC4FE" w14:textId="3753F522" w:rsidR="1ACE1CCC" w:rsidRPr="00C61A79" w:rsidRDefault="1ACE1CCC" w:rsidP="1ACE1CCC">
            <w:pPr>
              <w:rPr>
                <w:b/>
                <w:bCs/>
                <w:color w:val="44546A" w:themeColor="text2"/>
              </w:rPr>
            </w:pPr>
            <w:r w:rsidRPr="00C61A79">
              <w:rPr>
                <w:b/>
                <w:bCs/>
                <w:color w:val="44546A" w:themeColor="text2"/>
              </w:rPr>
              <w:t>Stelpost jeugdzorg 2024 - 2026</w:t>
            </w:r>
          </w:p>
        </w:tc>
      </w:tr>
      <w:tr w:rsidR="1ACE1CCC" w14:paraId="5F64A757" w14:textId="77777777" w:rsidTr="00233436">
        <w:trPr>
          <w:trHeight w:val="340"/>
        </w:trPr>
        <w:tc>
          <w:tcPr>
            <w:tcW w:w="3827" w:type="dxa"/>
            <w:tcBorders>
              <w:top w:val="single" w:sz="12" w:space="0" w:color="44546A" w:themeColor="text2"/>
              <w:bottom w:val="single" w:sz="12" w:space="0" w:color="44546A" w:themeColor="text2"/>
            </w:tcBorders>
            <w:vAlign w:val="center"/>
          </w:tcPr>
          <w:p w14:paraId="18EDF70F" w14:textId="305B8221" w:rsidR="1ACE1CCC" w:rsidRDefault="1ACE1CCC" w:rsidP="00233436">
            <w:pPr>
              <w:jc w:val="center"/>
            </w:pPr>
          </w:p>
        </w:tc>
        <w:tc>
          <w:tcPr>
            <w:tcW w:w="1511" w:type="dxa"/>
            <w:tcBorders>
              <w:bottom w:val="single" w:sz="12" w:space="0" w:color="44546A" w:themeColor="text2"/>
            </w:tcBorders>
            <w:vAlign w:val="center"/>
          </w:tcPr>
          <w:p w14:paraId="0B2111ED" w14:textId="7833D4AA" w:rsidR="1ACE1CCC" w:rsidRPr="001710B9" w:rsidRDefault="1ACE1CCC" w:rsidP="00233436">
            <w:pPr>
              <w:jc w:val="center"/>
              <w:rPr>
                <w:b/>
                <w:bCs/>
              </w:rPr>
            </w:pPr>
            <w:r w:rsidRPr="001710B9">
              <w:rPr>
                <w:b/>
                <w:bCs/>
              </w:rPr>
              <w:t>2024</w:t>
            </w:r>
          </w:p>
        </w:tc>
        <w:tc>
          <w:tcPr>
            <w:tcW w:w="1511" w:type="dxa"/>
            <w:tcBorders>
              <w:bottom w:val="single" w:sz="12" w:space="0" w:color="44546A" w:themeColor="text2"/>
            </w:tcBorders>
            <w:vAlign w:val="center"/>
          </w:tcPr>
          <w:p w14:paraId="04C94D2F" w14:textId="6150FE12" w:rsidR="1ACE1CCC" w:rsidRPr="001710B9" w:rsidRDefault="1ACE1CCC" w:rsidP="00233436">
            <w:pPr>
              <w:jc w:val="center"/>
              <w:rPr>
                <w:b/>
                <w:bCs/>
              </w:rPr>
            </w:pPr>
            <w:r w:rsidRPr="001710B9">
              <w:rPr>
                <w:b/>
                <w:bCs/>
              </w:rPr>
              <w:t>2025</w:t>
            </w:r>
          </w:p>
        </w:tc>
        <w:tc>
          <w:tcPr>
            <w:tcW w:w="1512" w:type="dxa"/>
            <w:tcBorders>
              <w:bottom w:val="single" w:sz="12" w:space="0" w:color="44546A" w:themeColor="text2"/>
            </w:tcBorders>
            <w:vAlign w:val="center"/>
          </w:tcPr>
          <w:p w14:paraId="482ECC8F" w14:textId="2A62823B" w:rsidR="1ACE1CCC" w:rsidRPr="001710B9" w:rsidRDefault="1ACE1CCC" w:rsidP="00233436">
            <w:pPr>
              <w:jc w:val="center"/>
              <w:rPr>
                <w:b/>
                <w:bCs/>
              </w:rPr>
            </w:pPr>
            <w:r w:rsidRPr="001710B9">
              <w:rPr>
                <w:b/>
                <w:bCs/>
              </w:rPr>
              <w:t>2026</w:t>
            </w:r>
          </w:p>
        </w:tc>
      </w:tr>
      <w:tr w:rsidR="1ACE1CCC" w14:paraId="6263C789" w14:textId="77777777" w:rsidTr="000B44C6">
        <w:tc>
          <w:tcPr>
            <w:tcW w:w="3827" w:type="dxa"/>
            <w:tcBorders>
              <w:top w:val="single" w:sz="12" w:space="0" w:color="44546A" w:themeColor="text2"/>
            </w:tcBorders>
          </w:tcPr>
          <w:p w14:paraId="27B7DBD7" w14:textId="5B04F6D8" w:rsidR="1ACE1CCC" w:rsidRDefault="1ACE1CCC" w:rsidP="1ACE1CCC">
            <w:pPr>
              <w:pStyle w:val="Lijstalinea"/>
              <w:numPr>
                <w:ilvl w:val="0"/>
                <w:numId w:val="1"/>
              </w:numPr>
            </w:pPr>
            <w:r w:rsidRPr="1ACE1CCC">
              <w:t>Hogere algemene uitkering</w:t>
            </w:r>
          </w:p>
        </w:tc>
        <w:tc>
          <w:tcPr>
            <w:tcW w:w="1511" w:type="dxa"/>
            <w:tcBorders>
              <w:top w:val="single" w:sz="12" w:space="0" w:color="44546A" w:themeColor="text2"/>
            </w:tcBorders>
            <w:vAlign w:val="bottom"/>
          </w:tcPr>
          <w:p w14:paraId="41BFB75C" w14:textId="2111F662" w:rsidR="1ACE1CCC" w:rsidRDefault="1ACE1CCC" w:rsidP="1ACE1CCC">
            <w:pPr>
              <w:jc w:val="right"/>
            </w:pPr>
            <w:r w:rsidRPr="1ACE1CCC">
              <w:t>2.000.000</w:t>
            </w:r>
          </w:p>
        </w:tc>
        <w:tc>
          <w:tcPr>
            <w:tcW w:w="1511" w:type="dxa"/>
            <w:tcBorders>
              <w:top w:val="single" w:sz="12" w:space="0" w:color="44546A" w:themeColor="text2"/>
            </w:tcBorders>
            <w:vAlign w:val="bottom"/>
          </w:tcPr>
          <w:p w14:paraId="62550508" w14:textId="35DE0D5F" w:rsidR="1ACE1CCC" w:rsidRDefault="1ACE1CCC" w:rsidP="1ACE1CCC">
            <w:pPr>
              <w:jc w:val="right"/>
            </w:pPr>
            <w:r w:rsidRPr="1ACE1CCC">
              <w:t>1.200.000</w:t>
            </w:r>
          </w:p>
        </w:tc>
        <w:tc>
          <w:tcPr>
            <w:tcW w:w="1512" w:type="dxa"/>
            <w:tcBorders>
              <w:top w:val="single" w:sz="12" w:space="0" w:color="44546A" w:themeColor="text2"/>
            </w:tcBorders>
            <w:vAlign w:val="bottom"/>
          </w:tcPr>
          <w:p w14:paraId="229D6003" w14:textId="1180D8E6" w:rsidR="1ACE1CCC" w:rsidRDefault="1ACE1CCC" w:rsidP="1ACE1CCC">
            <w:pPr>
              <w:jc w:val="right"/>
            </w:pPr>
            <w:r w:rsidRPr="1ACE1CCC">
              <w:t>580.000</w:t>
            </w:r>
          </w:p>
        </w:tc>
      </w:tr>
      <w:tr w:rsidR="1ACE1CCC" w14:paraId="7F040784" w14:textId="77777777" w:rsidTr="000B44C6">
        <w:tc>
          <w:tcPr>
            <w:tcW w:w="3827" w:type="dxa"/>
          </w:tcPr>
          <w:p w14:paraId="3F7009FF" w14:textId="015E03D2" w:rsidR="1ACE1CCC" w:rsidRDefault="1ACE1CCC" w:rsidP="1ACE1CCC">
            <w:pPr>
              <w:pStyle w:val="Lijstalinea"/>
              <w:numPr>
                <w:ilvl w:val="0"/>
                <w:numId w:val="1"/>
              </w:numPr>
            </w:pPr>
            <w:r w:rsidRPr="1ACE1CCC">
              <w:t>Lagere kosten jeugdzorg</w:t>
            </w:r>
          </w:p>
        </w:tc>
        <w:tc>
          <w:tcPr>
            <w:tcW w:w="1511" w:type="dxa"/>
            <w:tcBorders>
              <w:bottom w:val="single" w:sz="4" w:space="0" w:color="44546A" w:themeColor="text2"/>
            </w:tcBorders>
            <w:vAlign w:val="bottom"/>
          </w:tcPr>
          <w:p w14:paraId="0F4F8826" w14:textId="30C562E2" w:rsidR="1ACE1CCC" w:rsidRDefault="1ACE1CCC" w:rsidP="1ACE1CCC">
            <w:pPr>
              <w:jc w:val="right"/>
            </w:pPr>
            <w:r w:rsidRPr="1ACE1CCC">
              <w:t>200.000</w:t>
            </w:r>
          </w:p>
        </w:tc>
        <w:tc>
          <w:tcPr>
            <w:tcW w:w="1511" w:type="dxa"/>
            <w:tcBorders>
              <w:bottom w:val="single" w:sz="4" w:space="0" w:color="44546A" w:themeColor="text2"/>
            </w:tcBorders>
            <w:vAlign w:val="bottom"/>
          </w:tcPr>
          <w:p w14:paraId="483CBAF0" w14:textId="4C1FAA08" w:rsidR="1ACE1CCC" w:rsidRDefault="1ACE1CCC" w:rsidP="1ACE1CCC">
            <w:pPr>
              <w:jc w:val="right"/>
            </w:pPr>
            <w:r w:rsidRPr="1ACE1CCC">
              <w:t>800.000</w:t>
            </w:r>
          </w:p>
        </w:tc>
        <w:tc>
          <w:tcPr>
            <w:tcW w:w="1512" w:type="dxa"/>
            <w:tcBorders>
              <w:bottom w:val="single" w:sz="4" w:space="0" w:color="44546A" w:themeColor="text2"/>
            </w:tcBorders>
            <w:vAlign w:val="bottom"/>
          </w:tcPr>
          <w:p w14:paraId="045CF587" w14:textId="407D35B2" w:rsidR="1ACE1CCC" w:rsidRDefault="1ACE1CCC" w:rsidP="1ACE1CCC">
            <w:pPr>
              <w:jc w:val="right"/>
            </w:pPr>
            <w:r w:rsidRPr="1ACE1CCC">
              <w:t>800.000</w:t>
            </w:r>
          </w:p>
        </w:tc>
      </w:tr>
      <w:tr w:rsidR="1ACE1CCC" w14:paraId="0366BF81" w14:textId="77777777" w:rsidTr="000B44C6">
        <w:tc>
          <w:tcPr>
            <w:tcW w:w="3827" w:type="dxa"/>
          </w:tcPr>
          <w:p w14:paraId="3718F784" w14:textId="077F81CE" w:rsidR="1ACE1CCC" w:rsidRDefault="1ACE1CCC" w:rsidP="1ACE1CCC">
            <w:r w:rsidRPr="1ACE1CCC">
              <w:t>Herziene stelpost jeugdzorg 2024 -</w:t>
            </w:r>
            <w:r w:rsidR="008D503D">
              <w:t xml:space="preserve"> </w:t>
            </w:r>
            <w:r w:rsidRPr="1ACE1CCC">
              <w:t>2026</w:t>
            </w:r>
          </w:p>
        </w:tc>
        <w:tc>
          <w:tcPr>
            <w:tcW w:w="1511" w:type="dxa"/>
            <w:tcBorders>
              <w:top w:val="single" w:sz="4" w:space="0" w:color="44546A" w:themeColor="text2"/>
            </w:tcBorders>
            <w:vAlign w:val="bottom"/>
          </w:tcPr>
          <w:p w14:paraId="7E0F0C65" w14:textId="007D90EB" w:rsidR="1ACE1CCC" w:rsidRDefault="1ACE1CCC" w:rsidP="1ACE1CCC">
            <w:pPr>
              <w:jc w:val="right"/>
            </w:pPr>
            <w:r w:rsidRPr="1ACE1CCC">
              <w:t>2.200.000</w:t>
            </w:r>
          </w:p>
        </w:tc>
        <w:tc>
          <w:tcPr>
            <w:tcW w:w="1511" w:type="dxa"/>
            <w:tcBorders>
              <w:top w:val="single" w:sz="4" w:space="0" w:color="44546A" w:themeColor="text2"/>
            </w:tcBorders>
            <w:vAlign w:val="bottom"/>
          </w:tcPr>
          <w:p w14:paraId="10CA3005" w14:textId="25C26623" w:rsidR="1ACE1CCC" w:rsidRDefault="1ACE1CCC" w:rsidP="1ACE1CCC">
            <w:pPr>
              <w:jc w:val="right"/>
            </w:pPr>
            <w:r w:rsidRPr="1ACE1CCC">
              <w:t>2.000.000</w:t>
            </w:r>
          </w:p>
        </w:tc>
        <w:tc>
          <w:tcPr>
            <w:tcW w:w="1512" w:type="dxa"/>
            <w:tcBorders>
              <w:top w:val="single" w:sz="4" w:space="0" w:color="44546A" w:themeColor="text2"/>
            </w:tcBorders>
            <w:vAlign w:val="bottom"/>
          </w:tcPr>
          <w:p w14:paraId="39A54E1A" w14:textId="06E5EF3D" w:rsidR="1ACE1CCC" w:rsidRDefault="1ACE1CCC" w:rsidP="1ACE1CCC">
            <w:pPr>
              <w:jc w:val="right"/>
            </w:pPr>
            <w:r w:rsidRPr="1ACE1CCC">
              <w:t>1.380.000</w:t>
            </w:r>
          </w:p>
        </w:tc>
      </w:tr>
      <w:tr w:rsidR="1ACE1CCC" w14:paraId="58FEF71F" w14:textId="77777777" w:rsidTr="000B44C6">
        <w:tc>
          <w:tcPr>
            <w:tcW w:w="3827" w:type="dxa"/>
          </w:tcPr>
          <w:p w14:paraId="3C869571" w14:textId="4C3EEE4C" w:rsidR="1ACE1CCC" w:rsidRDefault="1ACE1CCC" w:rsidP="1ACE1CCC">
            <w:r w:rsidRPr="1ACE1CCC">
              <w:t>Oude stelpost jeugdzorg 2024</w:t>
            </w:r>
          </w:p>
        </w:tc>
        <w:tc>
          <w:tcPr>
            <w:tcW w:w="1511" w:type="dxa"/>
            <w:tcBorders>
              <w:bottom w:val="dashSmallGap" w:sz="12" w:space="0" w:color="44546A" w:themeColor="text2"/>
            </w:tcBorders>
            <w:vAlign w:val="bottom"/>
          </w:tcPr>
          <w:p w14:paraId="59DCAB5F" w14:textId="09DB23C4" w:rsidR="1ACE1CCC" w:rsidRDefault="1ACE1CCC" w:rsidP="1ACE1CCC">
            <w:pPr>
              <w:jc w:val="right"/>
            </w:pPr>
            <w:r w:rsidRPr="1ACE1CCC">
              <w:t>-1.620.000</w:t>
            </w:r>
          </w:p>
        </w:tc>
        <w:tc>
          <w:tcPr>
            <w:tcW w:w="1511" w:type="dxa"/>
            <w:tcBorders>
              <w:bottom w:val="dashSmallGap" w:sz="12" w:space="0" w:color="44546A" w:themeColor="text2"/>
            </w:tcBorders>
            <w:vAlign w:val="bottom"/>
          </w:tcPr>
          <w:p w14:paraId="332F6E3C" w14:textId="31BA622F" w:rsidR="1ACE1CCC" w:rsidRDefault="1ACE1CCC" w:rsidP="1ACE1CCC">
            <w:pPr>
              <w:jc w:val="right"/>
            </w:pPr>
            <w:r w:rsidRPr="1ACE1CCC">
              <w:t>-1.490.000</w:t>
            </w:r>
          </w:p>
        </w:tc>
        <w:tc>
          <w:tcPr>
            <w:tcW w:w="1512" w:type="dxa"/>
            <w:tcBorders>
              <w:bottom w:val="dashSmallGap" w:sz="12" w:space="0" w:color="44546A" w:themeColor="text2"/>
            </w:tcBorders>
            <w:vAlign w:val="bottom"/>
          </w:tcPr>
          <w:p w14:paraId="7A8EDB66" w14:textId="1F5C64D0" w:rsidR="1ACE1CCC" w:rsidRDefault="1ACE1CCC" w:rsidP="1ACE1CCC">
            <w:pPr>
              <w:jc w:val="right"/>
            </w:pPr>
            <w:r w:rsidRPr="1ACE1CCC">
              <w:t>-1.030.000</w:t>
            </w:r>
          </w:p>
        </w:tc>
      </w:tr>
      <w:tr w:rsidR="1ACE1CCC" w14:paraId="25CAB998" w14:textId="77777777" w:rsidTr="000B44C6">
        <w:tc>
          <w:tcPr>
            <w:tcW w:w="3827" w:type="dxa"/>
          </w:tcPr>
          <w:p w14:paraId="21AF7F26" w14:textId="725691A7" w:rsidR="1ACE1CCC" w:rsidRDefault="1ACE1CCC" w:rsidP="1ACE1CCC">
            <w:r w:rsidRPr="1ACE1CCC">
              <w:t>Effect 2024 –</w:t>
            </w:r>
            <w:r w:rsidR="00626EB5">
              <w:t xml:space="preserve"> </w:t>
            </w:r>
            <w:r w:rsidRPr="1ACE1CCC">
              <w:t>2026</w:t>
            </w:r>
          </w:p>
        </w:tc>
        <w:tc>
          <w:tcPr>
            <w:tcW w:w="1511" w:type="dxa"/>
            <w:tcBorders>
              <w:top w:val="dashSmallGap" w:sz="12" w:space="0" w:color="44546A" w:themeColor="text2"/>
              <w:bottom w:val="dashSmallGap" w:sz="12" w:space="0" w:color="44546A" w:themeColor="text2"/>
            </w:tcBorders>
            <w:vAlign w:val="bottom"/>
          </w:tcPr>
          <w:p w14:paraId="385B088D" w14:textId="015554F1" w:rsidR="1ACE1CCC" w:rsidRDefault="1ACE1CCC" w:rsidP="1ACE1CCC">
            <w:pPr>
              <w:jc w:val="right"/>
            </w:pPr>
            <w:r w:rsidRPr="1ACE1CCC">
              <w:t>580.000</w:t>
            </w:r>
          </w:p>
        </w:tc>
        <w:tc>
          <w:tcPr>
            <w:tcW w:w="1511" w:type="dxa"/>
            <w:tcBorders>
              <w:top w:val="dashSmallGap" w:sz="12" w:space="0" w:color="44546A" w:themeColor="text2"/>
              <w:bottom w:val="dashSmallGap" w:sz="12" w:space="0" w:color="44546A" w:themeColor="text2"/>
            </w:tcBorders>
            <w:vAlign w:val="bottom"/>
          </w:tcPr>
          <w:p w14:paraId="5EA47908" w14:textId="0755454C" w:rsidR="1ACE1CCC" w:rsidRDefault="1ACE1CCC" w:rsidP="1ACE1CCC">
            <w:pPr>
              <w:jc w:val="right"/>
            </w:pPr>
            <w:r w:rsidRPr="1ACE1CCC">
              <w:t>510.000</w:t>
            </w:r>
          </w:p>
        </w:tc>
        <w:tc>
          <w:tcPr>
            <w:tcW w:w="1512" w:type="dxa"/>
            <w:tcBorders>
              <w:top w:val="dashSmallGap" w:sz="12" w:space="0" w:color="44546A" w:themeColor="text2"/>
              <w:bottom w:val="dashSmallGap" w:sz="12" w:space="0" w:color="44546A" w:themeColor="text2"/>
            </w:tcBorders>
            <w:vAlign w:val="bottom"/>
          </w:tcPr>
          <w:p w14:paraId="5DDC9C3F" w14:textId="7E3BCCEE" w:rsidR="1ACE1CCC" w:rsidRDefault="1ACE1CCC" w:rsidP="1ACE1CCC">
            <w:pPr>
              <w:jc w:val="right"/>
            </w:pPr>
            <w:r w:rsidRPr="1ACE1CCC">
              <w:t>350.000</w:t>
            </w:r>
          </w:p>
        </w:tc>
      </w:tr>
    </w:tbl>
    <w:p w14:paraId="64956E1B" w14:textId="3499FE78" w:rsidR="0C23ECF7" w:rsidRDefault="0C23ECF7" w:rsidP="0C23ECF7"/>
    <w:p w14:paraId="72AAF8A8" w14:textId="630FB59E" w:rsidR="00477736" w:rsidRDefault="00C2716D" w:rsidP="00C2716D">
      <w:pPr>
        <w:pStyle w:val="Lijstalinea"/>
        <w:numPr>
          <w:ilvl w:val="0"/>
          <w:numId w:val="6"/>
        </w:numPr>
      </w:pPr>
      <w:r>
        <w:t>Stand septembercirculaire 2022</w:t>
      </w:r>
    </w:p>
    <w:p w14:paraId="50522733" w14:textId="4471E651" w:rsidR="00C2716D" w:rsidRDefault="00F50716" w:rsidP="00F50716">
      <w:pPr>
        <w:ind w:left="360"/>
      </w:pPr>
      <w:r>
        <w:t>Dit zijn de bijdragen vanuit het Rijk voor de gemeente De Ronde Venen volgens de september-circulaire 2022.</w:t>
      </w:r>
    </w:p>
    <w:p w14:paraId="2E4A3A15" w14:textId="77777777" w:rsidR="00464BFD" w:rsidRPr="00EB7D2B" w:rsidRDefault="00464BFD" w:rsidP="005312EF"/>
    <w:sectPr w:rsidR="00464BFD" w:rsidRPr="00EB7D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7119" w14:textId="77777777" w:rsidR="00467070" w:rsidRDefault="00467070" w:rsidP="00091A0C">
      <w:pPr>
        <w:spacing w:after="0" w:line="240" w:lineRule="auto"/>
      </w:pPr>
      <w:r>
        <w:separator/>
      </w:r>
    </w:p>
  </w:endnote>
  <w:endnote w:type="continuationSeparator" w:id="0">
    <w:p w14:paraId="2AC2A11D" w14:textId="77777777" w:rsidR="00467070" w:rsidRDefault="00467070" w:rsidP="00091A0C">
      <w:pPr>
        <w:spacing w:after="0" w:line="240" w:lineRule="auto"/>
      </w:pPr>
      <w:r>
        <w:continuationSeparator/>
      </w:r>
    </w:p>
  </w:endnote>
  <w:endnote w:type="continuationNotice" w:id="1">
    <w:p w14:paraId="5DC7A653" w14:textId="77777777" w:rsidR="00467070" w:rsidRDefault="00467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06006"/>
      <w:docPartObj>
        <w:docPartGallery w:val="Page Numbers (Bottom of Page)"/>
        <w:docPartUnique/>
      </w:docPartObj>
    </w:sdtPr>
    <w:sdtEndPr/>
    <w:sdtContent>
      <w:p w14:paraId="09F110C3" w14:textId="00A38015" w:rsidR="00FC0B0C" w:rsidRDefault="00FC0B0C">
        <w:pPr>
          <w:pStyle w:val="Voettekst"/>
        </w:pPr>
        <w:r>
          <w:rPr>
            <w:noProof/>
          </w:rPr>
          <mc:AlternateContent>
            <mc:Choice Requires="wps">
              <w:drawing>
                <wp:anchor distT="0" distB="0" distL="114300" distR="114300" simplePos="0" relativeHeight="251658240" behindDoc="0" locked="0" layoutInCell="1" allowOverlap="1" wp14:anchorId="0CCD0ABD" wp14:editId="6B65B6C3">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21AC68" w14:textId="77777777" w:rsidR="00FC0B0C" w:rsidRPr="00FC0B0C" w:rsidRDefault="00FC0B0C">
                              <w:pPr>
                                <w:pBdr>
                                  <w:top w:val="single" w:sz="4" w:space="1" w:color="7F7F7F" w:themeColor="background1" w:themeShade="7F"/>
                                </w:pBdr>
                                <w:jc w:val="center"/>
                                <w:rPr>
                                  <w:color w:val="44546A" w:themeColor="text2"/>
                                </w:rPr>
                              </w:pPr>
                              <w:r w:rsidRPr="00FC0B0C">
                                <w:rPr>
                                  <w:color w:val="44546A" w:themeColor="text2"/>
                                </w:rPr>
                                <w:fldChar w:fldCharType="begin"/>
                              </w:r>
                              <w:r w:rsidRPr="00FC0B0C">
                                <w:rPr>
                                  <w:color w:val="44546A" w:themeColor="text2"/>
                                </w:rPr>
                                <w:instrText>PAGE   \* MERGEFORMAT</w:instrText>
                              </w:r>
                              <w:r w:rsidRPr="00FC0B0C">
                                <w:rPr>
                                  <w:color w:val="44546A" w:themeColor="text2"/>
                                </w:rPr>
                                <w:fldChar w:fldCharType="separate"/>
                              </w:r>
                              <w:r w:rsidRPr="00FC0B0C">
                                <w:rPr>
                                  <w:color w:val="44546A" w:themeColor="text2"/>
                                </w:rPr>
                                <w:t>2</w:t>
                              </w:r>
                              <w:r w:rsidRPr="00FC0B0C">
                                <w:rPr>
                                  <w:color w:val="44546A"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CCD0ABD" id="Rechthoek 1"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121AC68" w14:textId="77777777" w:rsidR="00FC0B0C" w:rsidRPr="00FC0B0C" w:rsidRDefault="00FC0B0C">
                        <w:pPr>
                          <w:pBdr>
                            <w:top w:val="single" w:sz="4" w:space="1" w:color="7F7F7F" w:themeColor="background1" w:themeShade="7F"/>
                          </w:pBdr>
                          <w:jc w:val="center"/>
                          <w:rPr>
                            <w:color w:val="44546A" w:themeColor="text2"/>
                          </w:rPr>
                        </w:pPr>
                        <w:r w:rsidRPr="00FC0B0C">
                          <w:rPr>
                            <w:color w:val="44546A" w:themeColor="text2"/>
                          </w:rPr>
                          <w:fldChar w:fldCharType="begin"/>
                        </w:r>
                        <w:r w:rsidRPr="00FC0B0C">
                          <w:rPr>
                            <w:color w:val="44546A" w:themeColor="text2"/>
                          </w:rPr>
                          <w:instrText>PAGE   \* MERGEFORMAT</w:instrText>
                        </w:r>
                        <w:r w:rsidRPr="00FC0B0C">
                          <w:rPr>
                            <w:color w:val="44546A" w:themeColor="text2"/>
                          </w:rPr>
                          <w:fldChar w:fldCharType="separate"/>
                        </w:r>
                        <w:r w:rsidRPr="00FC0B0C">
                          <w:rPr>
                            <w:color w:val="44546A" w:themeColor="text2"/>
                          </w:rPr>
                          <w:t>2</w:t>
                        </w:r>
                        <w:r w:rsidRPr="00FC0B0C">
                          <w:rPr>
                            <w:color w:val="44546A" w:themeColor="tex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AE7D" w14:textId="77777777" w:rsidR="00467070" w:rsidRDefault="00467070" w:rsidP="00091A0C">
      <w:pPr>
        <w:spacing w:after="0" w:line="240" w:lineRule="auto"/>
      </w:pPr>
      <w:r>
        <w:separator/>
      </w:r>
    </w:p>
  </w:footnote>
  <w:footnote w:type="continuationSeparator" w:id="0">
    <w:p w14:paraId="16D9BB11" w14:textId="77777777" w:rsidR="00467070" w:rsidRDefault="00467070" w:rsidP="00091A0C">
      <w:pPr>
        <w:spacing w:after="0" w:line="240" w:lineRule="auto"/>
      </w:pPr>
      <w:r>
        <w:continuationSeparator/>
      </w:r>
    </w:p>
  </w:footnote>
  <w:footnote w:type="continuationNotice" w:id="1">
    <w:p w14:paraId="6765D5D7" w14:textId="77777777" w:rsidR="00467070" w:rsidRDefault="00467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C4E9" w14:textId="509B23F9" w:rsidR="00091A0C" w:rsidRPr="00091A0C" w:rsidRDefault="00091A0C">
    <w:pPr>
      <w:pStyle w:val="Koptekst"/>
      <w:rPr>
        <w:b/>
        <w:bCs/>
        <w:color w:val="44546A" w:themeColor="text2"/>
      </w:rPr>
    </w:pPr>
    <w:r w:rsidRPr="00091A0C">
      <w:rPr>
        <w:b/>
        <w:bCs/>
        <w:color w:val="44546A" w:themeColor="text2"/>
      </w:rPr>
      <w:t>Bijlage 1 | Uitkomsten Septembercirculaire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C04ED"/>
    <w:multiLevelType w:val="hybridMultilevel"/>
    <w:tmpl w:val="6810C778"/>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EA4538"/>
    <w:multiLevelType w:val="hybridMultilevel"/>
    <w:tmpl w:val="4FAAA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A5892"/>
    <w:multiLevelType w:val="hybridMultilevel"/>
    <w:tmpl w:val="4454B6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94E12EA"/>
    <w:multiLevelType w:val="hybridMultilevel"/>
    <w:tmpl w:val="632ADC50"/>
    <w:lvl w:ilvl="0" w:tplc="19F64832">
      <w:start w:val="1"/>
      <w:numFmt w:val="upperLetter"/>
      <w:lvlText w:val="%1."/>
      <w:lvlJc w:val="left"/>
      <w:pPr>
        <w:ind w:left="360" w:hanging="360"/>
      </w:pPr>
      <w:rPr>
        <w:rFonts w:hint="default"/>
      </w:rPr>
    </w:lvl>
    <w:lvl w:ilvl="1" w:tplc="FFFFFFFF">
      <w:start w:val="1"/>
      <w:numFmt w:val="decimal"/>
      <w:lvlText w:val="%2."/>
      <w:lvlJc w:val="left"/>
      <w:pPr>
        <w:ind w:left="36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4ED49F9"/>
    <w:multiLevelType w:val="multilevel"/>
    <w:tmpl w:val="04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5" w15:restartNumberingAfterBreak="0">
    <w:nsid w:val="5781474D"/>
    <w:multiLevelType w:val="hybridMultilevel"/>
    <w:tmpl w:val="C166F220"/>
    <w:lvl w:ilvl="0" w:tplc="62CCA206">
      <w:start w:val="1"/>
      <w:numFmt w:val="bullet"/>
      <w:lvlText w:val=""/>
      <w:lvlJc w:val="left"/>
      <w:pPr>
        <w:ind w:left="720" w:hanging="360"/>
      </w:pPr>
      <w:rPr>
        <w:rFonts w:ascii="Symbol" w:hAnsi="Symbol" w:hint="default"/>
      </w:rPr>
    </w:lvl>
    <w:lvl w:ilvl="1" w:tplc="28BC3ACE">
      <w:start w:val="1"/>
      <w:numFmt w:val="bullet"/>
      <w:lvlText w:val="o"/>
      <w:lvlJc w:val="left"/>
      <w:pPr>
        <w:ind w:left="1440" w:hanging="360"/>
      </w:pPr>
      <w:rPr>
        <w:rFonts w:ascii="Courier New" w:hAnsi="Courier New" w:hint="default"/>
      </w:rPr>
    </w:lvl>
    <w:lvl w:ilvl="2" w:tplc="498E5A2A">
      <w:start w:val="1"/>
      <w:numFmt w:val="bullet"/>
      <w:lvlText w:val=""/>
      <w:lvlJc w:val="left"/>
      <w:pPr>
        <w:ind w:left="2160" w:hanging="360"/>
      </w:pPr>
      <w:rPr>
        <w:rFonts w:ascii="Wingdings" w:hAnsi="Wingdings" w:hint="default"/>
      </w:rPr>
    </w:lvl>
    <w:lvl w:ilvl="3" w:tplc="640ECD36">
      <w:start w:val="1"/>
      <w:numFmt w:val="bullet"/>
      <w:lvlText w:val=""/>
      <w:lvlJc w:val="left"/>
      <w:pPr>
        <w:ind w:left="2880" w:hanging="360"/>
      </w:pPr>
      <w:rPr>
        <w:rFonts w:ascii="Symbol" w:hAnsi="Symbol" w:hint="default"/>
      </w:rPr>
    </w:lvl>
    <w:lvl w:ilvl="4" w:tplc="1FFE9AB2">
      <w:start w:val="1"/>
      <w:numFmt w:val="bullet"/>
      <w:lvlText w:val="o"/>
      <w:lvlJc w:val="left"/>
      <w:pPr>
        <w:ind w:left="3600" w:hanging="360"/>
      </w:pPr>
      <w:rPr>
        <w:rFonts w:ascii="Courier New" w:hAnsi="Courier New" w:hint="default"/>
      </w:rPr>
    </w:lvl>
    <w:lvl w:ilvl="5" w:tplc="069CE80E">
      <w:start w:val="1"/>
      <w:numFmt w:val="bullet"/>
      <w:lvlText w:val=""/>
      <w:lvlJc w:val="left"/>
      <w:pPr>
        <w:ind w:left="4320" w:hanging="360"/>
      </w:pPr>
      <w:rPr>
        <w:rFonts w:ascii="Wingdings" w:hAnsi="Wingdings" w:hint="default"/>
      </w:rPr>
    </w:lvl>
    <w:lvl w:ilvl="6" w:tplc="EB1C3126">
      <w:start w:val="1"/>
      <w:numFmt w:val="bullet"/>
      <w:lvlText w:val=""/>
      <w:lvlJc w:val="left"/>
      <w:pPr>
        <w:ind w:left="5040" w:hanging="360"/>
      </w:pPr>
      <w:rPr>
        <w:rFonts w:ascii="Symbol" w:hAnsi="Symbol" w:hint="default"/>
      </w:rPr>
    </w:lvl>
    <w:lvl w:ilvl="7" w:tplc="DF72BF1A">
      <w:start w:val="1"/>
      <w:numFmt w:val="bullet"/>
      <w:lvlText w:val="o"/>
      <w:lvlJc w:val="left"/>
      <w:pPr>
        <w:ind w:left="5760" w:hanging="360"/>
      </w:pPr>
      <w:rPr>
        <w:rFonts w:ascii="Courier New" w:hAnsi="Courier New" w:hint="default"/>
      </w:rPr>
    </w:lvl>
    <w:lvl w:ilvl="8" w:tplc="CDFE1646">
      <w:start w:val="1"/>
      <w:numFmt w:val="bullet"/>
      <w:lvlText w:val=""/>
      <w:lvlJc w:val="left"/>
      <w:pPr>
        <w:ind w:left="6480" w:hanging="360"/>
      </w:pPr>
      <w:rPr>
        <w:rFonts w:ascii="Wingdings" w:hAnsi="Wingdings" w:hint="default"/>
      </w:rPr>
    </w:lvl>
  </w:abstractNum>
  <w:abstractNum w:abstractNumId="6" w15:restartNumberingAfterBreak="0">
    <w:nsid w:val="5FFA3F6A"/>
    <w:multiLevelType w:val="hybridMultilevel"/>
    <w:tmpl w:val="4454B6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8DBD124"/>
    <w:multiLevelType w:val="hybridMultilevel"/>
    <w:tmpl w:val="423ED37E"/>
    <w:lvl w:ilvl="0" w:tplc="21F87520">
      <w:start w:val="1"/>
      <w:numFmt w:val="bullet"/>
      <w:lvlText w:val=""/>
      <w:lvlJc w:val="left"/>
      <w:pPr>
        <w:ind w:left="360" w:hanging="360"/>
      </w:pPr>
      <w:rPr>
        <w:rFonts w:ascii="Symbol" w:hAnsi="Symbol" w:hint="default"/>
      </w:rPr>
    </w:lvl>
    <w:lvl w:ilvl="1" w:tplc="C016AC40">
      <w:start w:val="1"/>
      <w:numFmt w:val="bullet"/>
      <w:lvlText w:val="o"/>
      <w:lvlJc w:val="left"/>
      <w:pPr>
        <w:ind w:left="1080" w:hanging="360"/>
      </w:pPr>
      <w:rPr>
        <w:rFonts w:ascii="Courier New" w:hAnsi="Courier New" w:hint="default"/>
      </w:rPr>
    </w:lvl>
    <w:lvl w:ilvl="2" w:tplc="A9D272C6">
      <w:start w:val="1"/>
      <w:numFmt w:val="bullet"/>
      <w:lvlText w:val=""/>
      <w:lvlJc w:val="left"/>
      <w:pPr>
        <w:ind w:left="1800" w:hanging="360"/>
      </w:pPr>
      <w:rPr>
        <w:rFonts w:ascii="Wingdings" w:hAnsi="Wingdings" w:hint="default"/>
      </w:rPr>
    </w:lvl>
    <w:lvl w:ilvl="3" w:tplc="7C206C04">
      <w:start w:val="1"/>
      <w:numFmt w:val="bullet"/>
      <w:lvlText w:val=""/>
      <w:lvlJc w:val="left"/>
      <w:pPr>
        <w:ind w:left="2520" w:hanging="360"/>
      </w:pPr>
      <w:rPr>
        <w:rFonts w:ascii="Symbol" w:hAnsi="Symbol" w:hint="default"/>
      </w:rPr>
    </w:lvl>
    <w:lvl w:ilvl="4" w:tplc="4636D8EE">
      <w:start w:val="1"/>
      <w:numFmt w:val="bullet"/>
      <w:lvlText w:val="o"/>
      <w:lvlJc w:val="left"/>
      <w:pPr>
        <w:ind w:left="3240" w:hanging="360"/>
      </w:pPr>
      <w:rPr>
        <w:rFonts w:ascii="Courier New" w:hAnsi="Courier New" w:hint="default"/>
      </w:rPr>
    </w:lvl>
    <w:lvl w:ilvl="5" w:tplc="C67AE0EE">
      <w:start w:val="1"/>
      <w:numFmt w:val="bullet"/>
      <w:lvlText w:val=""/>
      <w:lvlJc w:val="left"/>
      <w:pPr>
        <w:ind w:left="3960" w:hanging="360"/>
      </w:pPr>
      <w:rPr>
        <w:rFonts w:ascii="Wingdings" w:hAnsi="Wingdings" w:hint="default"/>
      </w:rPr>
    </w:lvl>
    <w:lvl w:ilvl="6" w:tplc="8A86A102">
      <w:start w:val="1"/>
      <w:numFmt w:val="bullet"/>
      <w:lvlText w:val=""/>
      <w:lvlJc w:val="left"/>
      <w:pPr>
        <w:ind w:left="4680" w:hanging="360"/>
      </w:pPr>
      <w:rPr>
        <w:rFonts w:ascii="Symbol" w:hAnsi="Symbol" w:hint="default"/>
      </w:rPr>
    </w:lvl>
    <w:lvl w:ilvl="7" w:tplc="77F43238">
      <w:start w:val="1"/>
      <w:numFmt w:val="bullet"/>
      <w:lvlText w:val="o"/>
      <w:lvlJc w:val="left"/>
      <w:pPr>
        <w:ind w:left="5400" w:hanging="360"/>
      </w:pPr>
      <w:rPr>
        <w:rFonts w:ascii="Courier New" w:hAnsi="Courier New" w:hint="default"/>
      </w:rPr>
    </w:lvl>
    <w:lvl w:ilvl="8" w:tplc="D71CDAE0">
      <w:start w:val="1"/>
      <w:numFmt w:val="bullet"/>
      <w:lvlText w:val=""/>
      <w:lvlJc w:val="left"/>
      <w:pPr>
        <w:ind w:left="6120" w:hanging="360"/>
      </w:pPr>
      <w:rPr>
        <w:rFonts w:ascii="Wingdings" w:hAnsi="Wingdings" w:hint="default"/>
      </w:rPr>
    </w:lvl>
  </w:abstractNum>
  <w:abstractNum w:abstractNumId="8" w15:restartNumberingAfterBreak="0">
    <w:nsid w:val="7731CD19"/>
    <w:multiLevelType w:val="hybridMultilevel"/>
    <w:tmpl w:val="721AE296"/>
    <w:lvl w:ilvl="0" w:tplc="18189952">
      <w:start w:val="1"/>
      <w:numFmt w:val="bullet"/>
      <w:lvlText w:val=""/>
      <w:lvlJc w:val="left"/>
      <w:pPr>
        <w:ind w:left="1068" w:hanging="360"/>
      </w:pPr>
      <w:rPr>
        <w:rFonts w:ascii="Symbol" w:hAnsi="Symbol" w:hint="default"/>
      </w:rPr>
    </w:lvl>
    <w:lvl w:ilvl="1" w:tplc="70CCE2B8">
      <w:start w:val="1"/>
      <w:numFmt w:val="bullet"/>
      <w:lvlText w:val="o"/>
      <w:lvlJc w:val="left"/>
      <w:pPr>
        <w:ind w:left="1788" w:hanging="360"/>
      </w:pPr>
      <w:rPr>
        <w:rFonts w:ascii="Courier New" w:hAnsi="Courier New" w:hint="default"/>
      </w:rPr>
    </w:lvl>
    <w:lvl w:ilvl="2" w:tplc="41886D58">
      <w:start w:val="1"/>
      <w:numFmt w:val="bullet"/>
      <w:lvlText w:val=""/>
      <w:lvlJc w:val="left"/>
      <w:pPr>
        <w:ind w:left="2508" w:hanging="360"/>
      </w:pPr>
      <w:rPr>
        <w:rFonts w:ascii="Wingdings" w:hAnsi="Wingdings" w:hint="default"/>
      </w:rPr>
    </w:lvl>
    <w:lvl w:ilvl="3" w:tplc="523AE136">
      <w:start w:val="1"/>
      <w:numFmt w:val="bullet"/>
      <w:lvlText w:val=""/>
      <w:lvlJc w:val="left"/>
      <w:pPr>
        <w:ind w:left="3228" w:hanging="360"/>
      </w:pPr>
      <w:rPr>
        <w:rFonts w:ascii="Symbol" w:hAnsi="Symbol" w:hint="default"/>
      </w:rPr>
    </w:lvl>
    <w:lvl w:ilvl="4" w:tplc="63F05ACE">
      <w:start w:val="1"/>
      <w:numFmt w:val="bullet"/>
      <w:lvlText w:val="o"/>
      <w:lvlJc w:val="left"/>
      <w:pPr>
        <w:ind w:left="3948" w:hanging="360"/>
      </w:pPr>
      <w:rPr>
        <w:rFonts w:ascii="Courier New" w:hAnsi="Courier New" w:hint="default"/>
      </w:rPr>
    </w:lvl>
    <w:lvl w:ilvl="5" w:tplc="E53CACB2">
      <w:start w:val="1"/>
      <w:numFmt w:val="bullet"/>
      <w:lvlText w:val=""/>
      <w:lvlJc w:val="left"/>
      <w:pPr>
        <w:ind w:left="4668" w:hanging="360"/>
      </w:pPr>
      <w:rPr>
        <w:rFonts w:ascii="Wingdings" w:hAnsi="Wingdings" w:hint="default"/>
      </w:rPr>
    </w:lvl>
    <w:lvl w:ilvl="6" w:tplc="BBCE6D48">
      <w:start w:val="1"/>
      <w:numFmt w:val="bullet"/>
      <w:lvlText w:val=""/>
      <w:lvlJc w:val="left"/>
      <w:pPr>
        <w:ind w:left="5388" w:hanging="360"/>
      </w:pPr>
      <w:rPr>
        <w:rFonts w:ascii="Symbol" w:hAnsi="Symbol" w:hint="default"/>
      </w:rPr>
    </w:lvl>
    <w:lvl w:ilvl="7" w:tplc="C86C622E">
      <w:start w:val="1"/>
      <w:numFmt w:val="bullet"/>
      <w:lvlText w:val="o"/>
      <w:lvlJc w:val="left"/>
      <w:pPr>
        <w:ind w:left="6108" w:hanging="360"/>
      </w:pPr>
      <w:rPr>
        <w:rFonts w:ascii="Courier New" w:hAnsi="Courier New" w:hint="default"/>
      </w:rPr>
    </w:lvl>
    <w:lvl w:ilvl="8" w:tplc="F796D906">
      <w:start w:val="1"/>
      <w:numFmt w:val="bullet"/>
      <w:lvlText w:val=""/>
      <w:lvlJc w:val="left"/>
      <w:pPr>
        <w:ind w:left="6828" w:hanging="360"/>
      </w:pPr>
      <w:rPr>
        <w:rFonts w:ascii="Wingdings" w:hAnsi="Wingdings" w:hint="default"/>
      </w:rPr>
    </w:lvl>
  </w:abstractNum>
  <w:num w:numId="1" w16cid:durableId="473452594">
    <w:abstractNumId w:val="7"/>
  </w:num>
  <w:num w:numId="2" w16cid:durableId="413089861">
    <w:abstractNumId w:val="8"/>
  </w:num>
  <w:num w:numId="3" w16cid:durableId="1244412721">
    <w:abstractNumId w:val="5"/>
  </w:num>
  <w:num w:numId="4" w16cid:durableId="195655645">
    <w:abstractNumId w:val="2"/>
  </w:num>
  <w:num w:numId="5" w16cid:durableId="46681992">
    <w:abstractNumId w:val="4"/>
  </w:num>
  <w:num w:numId="6" w16cid:durableId="816070146">
    <w:abstractNumId w:val="3"/>
  </w:num>
  <w:num w:numId="7" w16cid:durableId="2085450050">
    <w:abstractNumId w:val="6"/>
  </w:num>
  <w:num w:numId="8" w16cid:durableId="1527602740">
    <w:abstractNumId w:val="0"/>
  </w:num>
  <w:num w:numId="9" w16cid:durableId="755515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1A"/>
    <w:rsid w:val="00000F0F"/>
    <w:rsid w:val="00007B5B"/>
    <w:rsid w:val="00020D37"/>
    <w:rsid w:val="00034D12"/>
    <w:rsid w:val="0003570F"/>
    <w:rsid w:val="000470E3"/>
    <w:rsid w:val="000474E2"/>
    <w:rsid w:val="00066BF1"/>
    <w:rsid w:val="00091A0C"/>
    <w:rsid w:val="00091CA3"/>
    <w:rsid w:val="000A70F2"/>
    <w:rsid w:val="000B375E"/>
    <w:rsid w:val="000B44C6"/>
    <w:rsid w:val="000B4F85"/>
    <w:rsid w:val="000C2B61"/>
    <w:rsid w:val="000D3239"/>
    <w:rsid w:val="000E20C8"/>
    <w:rsid w:val="001049A9"/>
    <w:rsid w:val="00104DD0"/>
    <w:rsid w:val="0010560C"/>
    <w:rsid w:val="001135F2"/>
    <w:rsid w:val="00125943"/>
    <w:rsid w:val="00130E4B"/>
    <w:rsid w:val="00131B64"/>
    <w:rsid w:val="00140D32"/>
    <w:rsid w:val="00145D1F"/>
    <w:rsid w:val="001710B9"/>
    <w:rsid w:val="001A0D35"/>
    <w:rsid w:val="001A2075"/>
    <w:rsid w:val="001B03BD"/>
    <w:rsid w:val="002104BE"/>
    <w:rsid w:val="00226B11"/>
    <w:rsid w:val="00233436"/>
    <w:rsid w:val="00247EAE"/>
    <w:rsid w:val="002571B7"/>
    <w:rsid w:val="0026439D"/>
    <w:rsid w:val="002813B1"/>
    <w:rsid w:val="00287B4C"/>
    <w:rsid w:val="002A5214"/>
    <w:rsid w:val="002B2617"/>
    <w:rsid w:val="002C25B5"/>
    <w:rsid w:val="002C5264"/>
    <w:rsid w:val="002E5ED2"/>
    <w:rsid w:val="002F0C20"/>
    <w:rsid w:val="002F7013"/>
    <w:rsid w:val="00310148"/>
    <w:rsid w:val="003207A1"/>
    <w:rsid w:val="0033396B"/>
    <w:rsid w:val="00334617"/>
    <w:rsid w:val="00336A9E"/>
    <w:rsid w:val="00370C2A"/>
    <w:rsid w:val="0039025E"/>
    <w:rsid w:val="00390C01"/>
    <w:rsid w:val="00391A3F"/>
    <w:rsid w:val="003B3382"/>
    <w:rsid w:val="003D3569"/>
    <w:rsid w:val="003D6799"/>
    <w:rsid w:val="00461DCE"/>
    <w:rsid w:val="00464BFD"/>
    <w:rsid w:val="00467070"/>
    <w:rsid w:val="0047699E"/>
    <w:rsid w:val="00477736"/>
    <w:rsid w:val="004778F6"/>
    <w:rsid w:val="004B1941"/>
    <w:rsid w:val="004D1BDA"/>
    <w:rsid w:val="004E39DC"/>
    <w:rsid w:val="00505B00"/>
    <w:rsid w:val="00511484"/>
    <w:rsid w:val="005115DD"/>
    <w:rsid w:val="005126BE"/>
    <w:rsid w:val="005312EF"/>
    <w:rsid w:val="00552CF0"/>
    <w:rsid w:val="00555E7A"/>
    <w:rsid w:val="00592C98"/>
    <w:rsid w:val="005A5D29"/>
    <w:rsid w:val="005A7C0E"/>
    <w:rsid w:val="005D26F2"/>
    <w:rsid w:val="005D456B"/>
    <w:rsid w:val="00607D3E"/>
    <w:rsid w:val="00626EB5"/>
    <w:rsid w:val="00627C55"/>
    <w:rsid w:val="0065344E"/>
    <w:rsid w:val="00653BAF"/>
    <w:rsid w:val="00657455"/>
    <w:rsid w:val="006761F7"/>
    <w:rsid w:val="0069071A"/>
    <w:rsid w:val="006D0B1E"/>
    <w:rsid w:val="006D2A40"/>
    <w:rsid w:val="007125D3"/>
    <w:rsid w:val="007324FB"/>
    <w:rsid w:val="007521AA"/>
    <w:rsid w:val="007E2CEA"/>
    <w:rsid w:val="00803F3E"/>
    <w:rsid w:val="008A03C9"/>
    <w:rsid w:val="008B34A0"/>
    <w:rsid w:val="008B5900"/>
    <w:rsid w:val="008D503D"/>
    <w:rsid w:val="00926AB1"/>
    <w:rsid w:val="00942D16"/>
    <w:rsid w:val="00947A88"/>
    <w:rsid w:val="0096627E"/>
    <w:rsid w:val="009F5A7E"/>
    <w:rsid w:val="00A00145"/>
    <w:rsid w:val="00A20D23"/>
    <w:rsid w:val="00A21969"/>
    <w:rsid w:val="00A64207"/>
    <w:rsid w:val="00A67F33"/>
    <w:rsid w:val="00A71D4C"/>
    <w:rsid w:val="00A82AC2"/>
    <w:rsid w:val="00A97523"/>
    <w:rsid w:val="00AA0D92"/>
    <w:rsid w:val="00AC7B90"/>
    <w:rsid w:val="00B34CF8"/>
    <w:rsid w:val="00B37E44"/>
    <w:rsid w:val="00B47840"/>
    <w:rsid w:val="00B62A8D"/>
    <w:rsid w:val="00B752DB"/>
    <w:rsid w:val="00B76189"/>
    <w:rsid w:val="00B87E4A"/>
    <w:rsid w:val="00B91476"/>
    <w:rsid w:val="00BA6014"/>
    <w:rsid w:val="00BA687F"/>
    <w:rsid w:val="00BF1F3D"/>
    <w:rsid w:val="00C0157E"/>
    <w:rsid w:val="00C2716D"/>
    <w:rsid w:val="00C42DE6"/>
    <w:rsid w:val="00C61A79"/>
    <w:rsid w:val="00C902BC"/>
    <w:rsid w:val="00C93825"/>
    <w:rsid w:val="00CA7315"/>
    <w:rsid w:val="00CC776B"/>
    <w:rsid w:val="00CC7ED5"/>
    <w:rsid w:val="00CE7875"/>
    <w:rsid w:val="00CF3B67"/>
    <w:rsid w:val="00D053F0"/>
    <w:rsid w:val="00D47D16"/>
    <w:rsid w:val="00D64F9C"/>
    <w:rsid w:val="00D67DD9"/>
    <w:rsid w:val="00D724BD"/>
    <w:rsid w:val="00D732C1"/>
    <w:rsid w:val="00D9155F"/>
    <w:rsid w:val="00DB21A6"/>
    <w:rsid w:val="00DC5906"/>
    <w:rsid w:val="00DE5205"/>
    <w:rsid w:val="00E1360B"/>
    <w:rsid w:val="00E24F17"/>
    <w:rsid w:val="00E4093E"/>
    <w:rsid w:val="00E63F59"/>
    <w:rsid w:val="00E92382"/>
    <w:rsid w:val="00E9285A"/>
    <w:rsid w:val="00EA475F"/>
    <w:rsid w:val="00EB544A"/>
    <w:rsid w:val="00EB7D2B"/>
    <w:rsid w:val="00ED45B3"/>
    <w:rsid w:val="00ED4EE9"/>
    <w:rsid w:val="00ED623A"/>
    <w:rsid w:val="00EE1A6C"/>
    <w:rsid w:val="00EE3E03"/>
    <w:rsid w:val="00EF429D"/>
    <w:rsid w:val="00EF45F4"/>
    <w:rsid w:val="00F428D3"/>
    <w:rsid w:val="00F500D6"/>
    <w:rsid w:val="00F50716"/>
    <w:rsid w:val="00F61172"/>
    <w:rsid w:val="00F667D2"/>
    <w:rsid w:val="00F84CB2"/>
    <w:rsid w:val="00F919B1"/>
    <w:rsid w:val="00FA32BB"/>
    <w:rsid w:val="00FA4913"/>
    <w:rsid w:val="00FC0B0C"/>
    <w:rsid w:val="00FC5E9E"/>
    <w:rsid w:val="00FD0482"/>
    <w:rsid w:val="00FF4897"/>
    <w:rsid w:val="0C23ECF7"/>
    <w:rsid w:val="1ACE1CCC"/>
    <w:rsid w:val="530B551F"/>
    <w:rsid w:val="6706F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2BF3"/>
  <w15:chartTrackingRefBased/>
  <w15:docId w15:val="{A9BAC8D6-75A9-405C-A9F0-827666A3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21AA"/>
    <w:pPr>
      <w:jc w:val="both"/>
    </w:pPr>
  </w:style>
  <w:style w:type="paragraph" w:styleId="Kop1">
    <w:name w:val="heading 1"/>
    <w:basedOn w:val="Standaard"/>
    <w:next w:val="Standaard"/>
    <w:link w:val="Kop1Char"/>
    <w:uiPriority w:val="9"/>
    <w:qFormat/>
    <w:rsid w:val="003D6799"/>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D6799"/>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82AC2"/>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82AC2"/>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A82AC2"/>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A82AC2"/>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A82AC2"/>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A82AC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82AC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A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A0C"/>
  </w:style>
  <w:style w:type="paragraph" w:styleId="Voettekst">
    <w:name w:val="footer"/>
    <w:basedOn w:val="Standaard"/>
    <w:link w:val="VoettekstChar"/>
    <w:uiPriority w:val="99"/>
    <w:unhideWhenUsed/>
    <w:rsid w:val="00091A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A0C"/>
  </w:style>
  <w:style w:type="character" w:customStyle="1" w:styleId="Kop1Char">
    <w:name w:val="Kop 1 Char"/>
    <w:basedOn w:val="Standaardalinea-lettertype"/>
    <w:link w:val="Kop1"/>
    <w:uiPriority w:val="9"/>
    <w:rsid w:val="003D679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D6799"/>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71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25D3"/>
    <w:pPr>
      <w:ind w:left="720"/>
      <w:contextualSpacing/>
    </w:pPr>
  </w:style>
  <w:style w:type="character" w:customStyle="1" w:styleId="Kop3Char">
    <w:name w:val="Kop 3 Char"/>
    <w:basedOn w:val="Standaardalinea-lettertype"/>
    <w:link w:val="Kop3"/>
    <w:uiPriority w:val="9"/>
    <w:rsid w:val="00A82AC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A82AC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A82AC2"/>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A82AC2"/>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A82AC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A82A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82A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2112">
      <w:bodyDiv w:val="1"/>
      <w:marLeft w:val="0"/>
      <w:marRight w:val="0"/>
      <w:marTop w:val="0"/>
      <w:marBottom w:val="0"/>
      <w:divBdr>
        <w:top w:val="none" w:sz="0" w:space="0" w:color="auto"/>
        <w:left w:val="none" w:sz="0" w:space="0" w:color="auto"/>
        <w:bottom w:val="none" w:sz="0" w:space="0" w:color="auto"/>
        <w:right w:val="none" w:sz="0" w:space="0" w:color="auto"/>
      </w:divBdr>
    </w:div>
    <w:div w:id="15755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8029</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Okx</dc:creator>
  <cp:keywords/>
  <dc:description/>
  <cp:lastModifiedBy>Gilbert Okx</cp:lastModifiedBy>
  <cp:revision>2</cp:revision>
  <cp:lastPrinted>2022-09-28T14:55:00Z</cp:lastPrinted>
  <dcterms:created xsi:type="dcterms:W3CDTF">2022-10-10T07:17:00Z</dcterms:created>
  <dcterms:modified xsi:type="dcterms:W3CDTF">2022-10-10T07:17:00Z</dcterms:modified>
</cp:coreProperties>
</file>